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46BB" w14:textId="4E820150" w:rsidR="001E3FF0" w:rsidRPr="001E3FF0" w:rsidRDefault="001E3FF0" w:rsidP="001E3FF0">
      <w:pPr>
        <w:pStyle w:val="Heading1"/>
      </w:pPr>
      <w:bookmarkStart w:id="0" w:name="_Toc227761365"/>
      <w:r w:rsidRPr="001E3FF0">
        <w:t xml:space="preserve">AVIS </w:t>
      </w:r>
      <w:bookmarkEnd w:id="0"/>
      <w:r w:rsidRPr="001E3FF0">
        <w:t>DE MARCHE DE FOURNITURES</w:t>
      </w:r>
    </w:p>
    <w:p w14:paraId="268649BA" w14:textId="77777777" w:rsidR="001E3FF0" w:rsidRPr="001E3FF0" w:rsidRDefault="001E3FF0" w:rsidP="001E3FF0">
      <w:pPr>
        <w:rPr>
          <w:rStyle w:val="Strong"/>
          <w:szCs w:val="22"/>
        </w:rPr>
      </w:pPr>
      <w:r w:rsidRPr="001E3FF0">
        <w:rPr>
          <w:rStyle w:val="Strong"/>
          <w:szCs w:val="22"/>
        </w:rPr>
        <w:t xml:space="preserve">Fourniture et livraison de deux (2) véhicules PICK-UP 4X4 double cabine tropicalisés </w:t>
      </w:r>
    </w:p>
    <w:p w14:paraId="08C73D97" w14:textId="72DB2EB3" w:rsidR="001E3FF0" w:rsidRPr="001E3FF0" w:rsidRDefault="007F7F5A" w:rsidP="0011759E">
      <w:pPr>
        <w:pStyle w:val="Heading3"/>
        <w:ind w:left="426" w:hanging="142"/>
        <w:rPr>
          <w:rStyle w:val="Strong"/>
          <w:rFonts w:cs="Times New Roman"/>
        </w:rPr>
      </w:pPr>
      <w:r>
        <w:rPr>
          <w:rStyle w:val="Strong"/>
          <w:rFonts w:cs="Times New Roman"/>
        </w:rPr>
        <w:t xml:space="preserve">1. </w:t>
      </w:r>
      <w:r>
        <w:rPr>
          <w:rStyle w:val="Strong"/>
          <w:rFonts w:cs="Times New Roman"/>
        </w:rPr>
        <w:tab/>
      </w:r>
      <w:r w:rsidR="001E3FF0" w:rsidRPr="0011759E">
        <w:rPr>
          <w:rStyle w:val="Strong"/>
          <w:rFonts w:cs="Times New Roman"/>
          <w:szCs w:val="22"/>
        </w:rPr>
        <w:t>Référence</w:t>
      </w:r>
    </w:p>
    <w:p w14:paraId="5E92753D" w14:textId="77777777" w:rsidR="001E3FF0" w:rsidRPr="001E3FF0" w:rsidRDefault="001E3FF0" w:rsidP="001E3FF0">
      <w:pPr>
        <w:rPr>
          <w:szCs w:val="22"/>
        </w:rPr>
      </w:pPr>
      <w:r w:rsidRPr="001E3FF0">
        <w:rPr>
          <w:szCs w:val="22"/>
        </w:rPr>
        <w:t xml:space="preserve">N° : </w:t>
      </w:r>
      <w:r w:rsidRPr="001E3FF0">
        <w:rPr>
          <w:b/>
          <w:bCs/>
          <w:i/>
          <w:iCs/>
          <w:szCs w:val="22"/>
        </w:rPr>
        <w:t>001/DN/BDI2026/AID 013244/09/6</w:t>
      </w:r>
    </w:p>
    <w:p w14:paraId="33A88585" w14:textId="7E192517" w:rsidR="001E3FF0" w:rsidRPr="007F7F5A" w:rsidRDefault="001E3FF0" w:rsidP="0011759E">
      <w:pPr>
        <w:pStyle w:val="Heading3"/>
        <w:ind w:left="426" w:hanging="142"/>
        <w:rPr>
          <w:rStyle w:val="Strong"/>
          <w:rFonts w:cs="Times New Roman"/>
        </w:rPr>
      </w:pPr>
      <w:r w:rsidRPr="007F7F5A">
        <w:rPr>
          <w:rStyle w:val="Strong"/>
          <w:rFonts w:cs="Times New Roman"/>
        </w:rPr>
        <w:t>2.</w:t>
      </w:r>
      <w:r w:rsidR="007F7F5A">
        <w:rPr>
          <w:rStyle w:val="Strong"/>
          <w:rFonts w:cs="Times New Roman"/>
        </w:rPr>
        <w:tab/>
      </w:r>
      <w:r w:rsidRPr="0011759E">
        <w:rPr>
          <w:rStyle w:val="Strong"/>
          <w:rFonts w:cs="Times New Roman"/>
          <w:szCs w:val="22"/>
        </w:rPr>
        <w:t>Procédure</w:t>
      </w:r>
    </w:p>
    <w:p w14:paraId="6317096B" w14:textId="77777777" w:rsidR="001E3FF0" w:rsidRPr="001E3FF0" w:rsidRDefault="001E3FF0" w:rsidP="001E3FF0">
      <w:pPr>
        <w:pStyle w:val="Blockquote"/>
        <w:ind w:left="0"/>
        <w:jc w:val="both"/>
        <w:rPr>
          <w:sz w:val="22"/>
          <w:szCs w:val="22"/>
        </w:rPr>
      </w:pPr>
      <w:r w:rsidRPr="001E3FF0">
        <w:rPr>
          <w:sz w:val="22"/>
          <w:szCs w:val="22"/>
        </w:rPr>
        <w:t>Procédure d’Appel d’Offres Ouvert Local</w:t>
      </w:r>
    </w:p>
    <w:p w14:paraId="05D1405E" w14:textId="5D9B8ACD" w:rsidR="001E3FF0" w:rsidRPr="007F7F5A" w:rsidRDefault="001E3FF0" w:rsidP="0011759E">
      <w:pPr>
        <w:pStyle w:val="Heading3"/>
        <w:ind w:left="426" w:hanging="142"/>
        <w:rPr>
          <w:rStyle w:val="Strong"/>
          <w:b w:val="0"/>
        </w:rPr>
      </w:pPr>
      <w:r w:rsidRPr="007F7F5A">
        <w:rPr>
          <w:rStyle w:val="Strong"/>
          <w:rFonts w:cs="Times New Roman"/>
        </w:rPr>
        <w:t xml:space="preserve">3. </w:t>
      </w:r>
      <w:r w:rsidR="007F7F5A">
        <w:rPr>
          <w:rStyle w:val="Strong"/>
          <w:rFonts w:cs="Times New Roman"/>
        </w:rPr>
        <w:tab/>
      </w:r>
      <w:r w:rsidRPr="0011759E">
        <w:rPr>
          <w:rStyle w:val="Strong"/>
          <w:rFonts w:cs="Times New Roman"/>
          <w:szCs w:val="22"/>
        </w:rPr>
        <w:t>Intitulé</w:t>
      </w:r>
      <w:r w:rsidRPr="007F7F5A">
        <w:rPr>
          <w:rStyle w:val="Strong"/>
          <w:rFonts w:cs="Times New Roman"/>
        </w:rPr>
        <w:t xml:space="preserve"> </w:t>
      </w:r>
      <w:r w:rsidRPr="007F7F5A">
        <w:rPr>
          <w:rStyle w:val="Strong"/>
          <w:bCs/>
        </w:rPr>
        <w:t>du</w:t>
      </w:r>
      <w:r w:rsidRPr="007F7F5A">
        <w:rPr>
          <w:rStyle w:val="Strong"/>
          <w:rFonts w:cs="Times New Roman"/>
        </w:rPr>
        <w:t xml:space="preserve"> programme</w:t>
      </w:r>
    </w:p>
    <w:p w14:paraId="479EF83E" w14:textId="6DD429AA" w:rsidR="001E3FF0" w:rsidRPr="001E3FF0" w:rsidRDefault="001E3FF0" w:rsidP="001E3FF0">
      <w:pPr>
        <w:jc w:val="both"/>
        <w:rPr>
          <w:szCs w:val="22"/>
        </w:rPr>
      </w:pPr>
      <w:r w:rsidRPr="001E3FF0">
        <w:rPr>
          <w:szCs w:val="22"/>
        </w:rPr>
        <w:t xml:space="preserve">Projet : </w:t>
      </w:r>
      <w:r w:rsidRPr="001E3FF0">
        <w:rPr>
          <w:b/>
          <w:bCs/>
          <w:szCs w:val="22"/>
        </w:rPr>
        <w:t>DUFUNGURE NEZA</w:t>
      </w:r>
      <w:r w:rsidRPr="001E3FF0">
        <w:rPr>
          <w:szCs w:val="22"/>
        </w:rPr>
        <w:t xml:space="preserve"> </w:t>
      </w:r>
    </w:p>
    <w:p w14:paraId="38A62ECD" w14:textId="7398D959" w:rsidR="001E3FF0" w:rsidRPr="007F7F5A" w:rsidRDefault="001E3FF0" w:rsidP="00766B00">
      <w:pPr>
        <w:pStyle w:val="Heading3"/>
        <w:ind w:left="426"/>
        <w:rPr>
          <w:rStyle w:val="Strong"/>
          <w:rFonts w:cs="Times New Roman"/>
        </w:rPr>
      </w:pPr>
      <w:r w:rsidRPr="007F7F5A">
        <w:rPr>
          <w:rStyle w:val="Strong"/>
          <w:rFonts w:cs="Times New Roman"/>
        </w:rPr>
        <w:t xml:space="preserve">4. </w:t>
      </w:r>
      <w:r w:rsidR="007F7F5A">
        <w:rPr>
          <w:rStyle w:val="Strong"/>
          <w:rFonts w:cs="Times New Roman"/>
        </w:rPr>
        <w:tab/>
      </w:r>
      <w:r w:rsidRPr="00766B00">
        <w:rPr>
          <w:rStyle w:val="Strong"/>
          <w:bCs/>
        </w:rPr>
        <w:t>Financement</w:t>
      </w:r>
    </w:p>
    <w:p w14:paraId="5A5E44DD" w14:textId="77777777" w:rsidR="001E3FF0" w:rsidRPr="001E3FF0" w:rsidRDefault="001E3FF0" w:rsidP="001E3FF0">
      <w:pPr>
        <w:jc w:val="both"/>
        <w:rPr>
          <w:szCs w:val="22"/>
        </w:rPr>
      </w:pPr>
      <w:r w:rsidRPr="001E3FF0">
        <w:rPr>
          <w:szCs w:val="22"/>
        </w:rPr>
        <w:t>Convention de financement «</w:t>
      </w:r>
      <w:r w:rsidRPr="001E3FF0">
        <w:rPr>
          <w:b/>
          <w:bCs/>
          <w:szCs w:val="22"/>
        </w:rPr>
        <w:t> AID 013244/09/6 </w:t>
      </w:r>
      <w:r w:rsidRPr="001E3FF0">
        <w:rPr>
          <w:szCs w:val="22"/>
        </w:rPr>
        <w:t>», financé par l’Agence italienne pour la Coopération au Développement (AICS).</w:t>
      </w:r>
    </w:p>
    <w:p w14:paraId="6D84BCAE" w14:textId="77777777" w:rsidR="001E3FF0" w:rsidRPr="001E3FF0" w:rsidRDefault="001E3FF0" w:rsidP="0011759E">
      <w:pPr>
        <w:pStyle w:val="Heading3"/>
        <w:ind w:left="426" w:hanging="142"/>
        <w:rPr>
          <w:rFonts w:cs="Times New Roman"/>
          <w:szCs w:val="22"/>
        </w:rPr>
      </w:pPr>
      <w:r w:rsidRPr="001E3FF0">
        <w:rPr>
          <w:rStyle w:val="Strong"/>
          <w:rFonts w:cs="Times New Roman"/>
          <w:szCs w:val="22"/>
        </w:rPr>
        <w:t xml:space="preserve">5. </w:t>
      </w:r>
      <w:r w:rsidRPr="001E3FF0">
        <w:rPr>
          <w:rStyle w:val="Strong"/>
          <w:rFonts w:cs="Times New Roman"/>
          <w:szCs w:val="22"/>
        </w:rPr>
        <w:tab/>
        <w:t xml:space="preserve">Pouvoir </w:t>
      </w:r>
      <w:r w:rsidRPr="007F7F5A">
        <w:rPr>
          <w:rStyle w:val="Strong"/>
          <w:bCs/>
        </w:rPr>
        <w:t>adjudicateur</w:t>
      </w:r>
    </w:p>
    <w:p w14:paraId="18475CB8" w14:textId="77777777" w:rsidR="001E3FF0" w:rsidRPr="001E3FF0" w:rsidRDefault="001E3FF0" w:rsidP="001E3FF0">
      <w:pPr>
        <w:jc w:val="both"/>
        <w:rPr>
          <w:rStyle w:val="Emphasis"/>
          <w:i w:val="0"/>
          <w:szCs w:val="22"/>
        </w:rPr>
      </w:pPr>
      <w:r w:rsidRPr="001E3FF0">
        <w:rPr>
          <w:rStyle w:val="Emphasis"/>
          <w:i w:val="0"/>
          <w:szCs w:val="22"/>
        </w:rPr>
        <w:t>ICU-Institut pour la Coopération Universitaire situé à Bujumbura, 24, Avenue Rutana, Rohero1, Commune Mukaza.</w:t>
      </w:r>
    </w:p>
    <w:p w14:paraId="04BCBBEA" w14:textId="77777777" w:rsidR="001E3FF0" w:rsidRPr="001E3FF0" w:rsidRDefault="001E3FF0" w:rsidP="00F37711">
      <w:pPr>
        <w:pStyle w:val="Heading2"/>
        <w:numPr>
          <w:ilvl w:val="0"/>
          <w:numId w:val="6"/>
        </w:numPr>
        <w:tabs>
          <w:tab w:val="num" w:pos="360"/>
        </w:tabs>
        <w:spacing w:after="0"/>
        <w:ind w:left="0" w:firstLine="0"/>
        <w:rPr>
          <w:rStyle w:val="Strong"/>
        </w:rPr>
      </w:pPr>
      <w:bookmarkStart w:id="1" w:name="_Toc227761366"/>
      <w:r w:rsidRPr="001E3FF0">
        <w:rPr>
          <w:rStyle w:val="Strong"/>
        </w:rPr>
        <w:t>SPÉCIFICATIONS DU MARCHÉ</w:t>
      </w:r>
      <w:bookmarkEnd w:id="1"/>
    </w:p>
    <w:p w14:paraId="5781B4E8" w14:textId="77777777" w:rsidR="001E3FF0" w:rsidRPr="001E3FF0" w:rsidRDefault="001E3FF0" w:rsidP="0011759E">
      <w:pPr>
        <w:pStyle w:val="Heading3"/>
        <w:ind w:left="426" w:hanging="142"/>
        <w:rPr>
          <w:rStyle w:val="Strong"/>
          <w:rFonts w:cs="Times New Roman"/>
          <w:szCs w:val="22"/>
        </w:rPr>
      </w:pPr>
      <w:r w:rsidRPr="001E3FF0">
        <w:rPr>
          <w:rStyle w:val="Strong"/>
          <w:rFonts w:cs="Times New Roman"/>
          <w:szCs w:val="22"/>
        </w:rPr>
        <w:t xml:space="preserve">6. </w:t>
      </w:r>
      <w:r w:rsidRPr="001E3FF0">
        <w:rPr>
          <w:rStyle w:val="Strong"/>
          <w:rFonts w:cs="Times New Roman"/>
          <w:szCs w:val="22"/>
        </w:rPr>
        <w:tab/>
        <w:t>Type de marché</w:t>
      </w:r>
    </w:p>
    <w:p w14:paraId="26060B43" w14:textId="77777777" w:rsidR="001E3FF0" w:rsidRPr="001E3FF0" w:rsidRDefault="001E3FF0" w:rsidP="001E3FF0">
      <w:pPr>
        <w:outlineLvl w:val="0"/>
        <w:rPr>
          <w:b/>
          <w:bCs/>
          <w:szCs w:val="22"/>
        </w:rPr>
      </w:pPr>
      <w:r w:rsidRPr="001E3FF0">
        <w:rPr>
          <w:rStyle w:val="Strong"/>
          <w:bCs/>
          <w:szCs w:val="22"/>
        </w:rPr>
        <w:t>Le présent marché est à prix unitaire</w:t>
      </w:r>
    </w:p>
    <w:p w14:paraId="50EAE128" w14:textId="77777777" w:rsidR="001E3FF0" w:rsidRPr="001E3FF0" w:rsidRDefault="001E3FF0" w:rsidP="0011759E">
      <w:pPr>
        <w:pStyle w:val="Heading3"/>
        <w:ind w:left="426" w:hanging="142"/>
        <w:rPr>
          <w:rFonts w:cs="Times New Roman"/>
          <w:szCs w:val="22"/>
        </w:rPr>
      </w:pPr>
      <w:r w:rsidRPr="001E3FF0">
        <w:rPr>
          <w:rStyle w:val="Strong"/>
          <w:rFonts w:cs="Times New Roman"/>
          <w:szCs w:val="22"/>
        </w:rPr>
        <w:t xml:space="preserve">7. </w:t>
      </w:r>
      <w:r w:rsidRPr="001E3FF0">
        <w:rPr>
          <w:rStyle w:val="Strong"/>
          <w:rFonts w:cs="Times New Roman"/>
          <w:szCs w:val="22"/>
        </w:rPr>
        <w:tab/>
        <w:t>Description du marché</w:t>
      </w:r>
    </w:p>
    <w:p w14:paraId="5DCC90E0" w14:textId="77777777" w:rsidR="001E3FF0" w:rsidRPr="001E3FF0" w:rsidRDefault="001E3FF0" w:rsidP="001E3FF0">
      <w:pPr>
        <w:pStyle w:val="Blockquote"/>
        <w:ind w:left="0"/>
        <w:jc w:val="both"/>
        <w:rPr>
          <w:i/>
          <w:sz w:val="22"/>
          <w:szCs w:val="22"/>
        </w:rPr>
      </w:pPr>
      <w:r w:rsidRPr="001E3FF0">
        <w:rPr>
          <w:rStyle w:val="Emphasis"/>
          <w:i w:val="0"/>
          <w:sz w:val="22"/>
          <w:szCs w:val="22"/>
        </w:rPr>
        <w:t>Fourniture de deux (2) véhicules PICK-UP 4X4 double cabine tropicalisés.</w:t>
      </w:r>
    </w:p>
    <w:p w14:paraId="0BDEB6F2" w14:textId="77777777" w:rsidR="001E3FF0" w:rsidRPr="001E3FF0" w:rsidRDefault="001E3FF0" w:rsidP="0011759E">
      <w:pPr>
        <w:pStyle w:val="Heading3"/>
        <w:ind w:left="426" w:hanging="142"/>
        <w:rPr>
          <w:rFonts w:cs="Times New Roman"/>
          <w:szCs w:val="22"/>
        </w:rPr>
      </w:pPr>
      <w:r w:rsidRPr="001E3FF0">
        <w:rPr>
          <w:rStyle w:val="Strong"/>
          <w:rFonts w:cs="Times New Roman"/>
          <w:szCs w:val="22"/>
        </w:rPr>
        <w:t xml:space="preserve">8. </w:t>
      </w:r>
      <w:r w:rsidRPr="001E3FF0">
        <w:rPr>
          <w:rStyle w:val="Strong"/>
          <w:rFonts w:cs="Times New Roman"/>
          <w:szCs w:val="22"/>
        </w:rPr>
        <w:tab/>
        <w:t>Nombre et intitulés des lots</w:t>
      </w:r>
    </w:p>
    <w:p w14:paraId="7A1D2605" w14:textId="77777777" w:rsidR="001E3FF0" w:rsidRPr="001E3FF0" w:rsidRDefault="001E3FF0" w:rsidP="001E3FF0">
      <w:pPr>
        <w:outlineLvl w:val="0"/>
        <w:rPr>
          <w:rStyle w:val="Emphasis"/>
          <w:i w:val="0"/>
          <w:szCs w:val="22"/>
        </w:rPr>
      </w:pPr>
      <w:r w:rsidRPr="001E3FF0">
        <w:rPr>
          <w:rStyle w:val="Emphasis"/>
          <w:i w:val="0"/>
          <w:szCs w:val="22"/>
        </w:rPr>
        <w:t>Le présent marché est composé d’un seul lot.</w:t>
      </w:r>
    </w:p>
    <w:p w14:paraId="4B48924A" w14:textId="77777777" w:rsidR="001E3FF0" w:rsidRPr="001E3FF0" w:rsidRDefault="001E3FF0" w:rsidP="001E3FF0">
      <w:pPr>
        <w:outlineLvl w:val="0"/>
        <w:rPr>
          <w:rStyle w:val="Strong"/>
          <w:szCs w:val="22"/>
        </w:rPr>
      </w:pPr>
      <w:r w:rsidRPr="001E3FF0">
        <w:rPr>
          <w:rStyle w:val="Emphasis"/>
          <w:i w:val="0"/>
          <w:szCs w:val="22"/>
        </w:rPr>
        <w:t>Lot 1 : Fourniture de deux (2) véhicules PICK-UP 4X4 double cabine tropicalisés</w:t>
      </w:r>
      <w:r w:rsidRPr="001E3FF0">
        <w:rPr>
          <w:rStyle w:val="Strong"/>
          <w:i/>
          <w:szCs w:val="22"/>
        </w:rPr>
        <w:t>.</w:t>
      </w:r>
      <w:r w:rsidRPr="001E3FF0">
        <w:rPr>
          <w:rStyle w:val="Strong"/>
          <w:szCs w:val="22"/>
        </w:rPr>
        <w:tab/>
      </w:r>
    </w:p>
    <w:p w14:paraId="3A21001E" w14:textId="77777777" w:rsidR="001E3FF0" w:rsidRPr="001E3FF0" w:rsidRDefault="001E3FF0" w:rsidP="00F37711">
      <w:pPr>
        <w:pStyle w:val="Heading2"/>
        <w:numPr>
          <w:ilvl w:val="0"/>
          <w:numId w:val="5"/>
        </w:numPr>
        <w:tabs>
          <w:tab w:val="num" w:pos="360"/>
        </w:tabs>
        <w:spacing w:after="0"/>
        <w:ind w:left="0" w:firstLine="0"/>
        <w:rPr>
          <w:rStyle w:val="Strong"/>
        </w:rPr>
      </w:pPr>
      <w:bookmarkStart w:id="2" w:name="_Toc227761367"/>
      <w:r w:rsidRPr="001E3FF0">
        <w:rPr>
          <w:rStyle w:val="Strong"/>
        </w:rPr>
        <w:t>CONDITIONS DE PARTICIPATION</w:t>
      </w:r>
      <w:bookmarkEnd w:id="2"/>
    </w:p>
    <w:p w14:paraId="1F0E5392" w14:textId="3526DB8A" w:rsidR="001E3FF0" w:rsidRPr="001E3FF0" w:rsidRDefault="001E3FF0" w:rsidP="00766B00">
      <w:pPr>
        <w:pStyle w:val="Heading3"/>
        <w:ind w:left="426" w:hanging="142"/>
        <w:rPr>
          <w:rFonts w:cs="Times New Roman"/>
          <w:szCs w:val="22"/>
        </w:rPr>
      </w:pP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Pr="001E3FF0">
        <w:rPr>
          <w:rStyle w:val="Strong"/>
          <w:rFonts w:cs="Times New Roman"/>
          <w:szCs w:val="22"/>
        </w:rPr>
        <w:t xml:space="preserve">9. </w:t>
      </w:r>
      <w:r w:rsidRPr="001E3FF0">
        <w:rPr>
          <w:rStyle w:val="Strong"/>
          <w:rFonts w:cs="Times New Roman"/>
          <w:szCs w:val="22"/>
        </w:rPr>
        <w:tab/>
      </w:r>
      <w:r w:rsidRPr="00766B00">
        <w:rPr>
          <w:rStyle w:val="Strong"/>
          <w:rFonts w:cs="Times New Roman"/>
          <w:szCs w:val="22"/>
        </w:rPr>
        <w:t>Nombre</w:t>
      </w:r>
      <w:r w:rsidRPr="001E3FF0">
        <w:rPr>
          <w:rStyle w:val="Strong"/>
          <w:rFonts w:cs="Times New Roman"/>
          <w:szCs w:val="22"/>
        </w:rPr>
        <w:t xml:space="preserve"> </w:t>
      </w:r>
      <w:r w:rsidRPr="00766B00">
        <w:rPr>
          <w:rStyle w:val="Strong"/>
          <w:bCs/>
        </w:rPr>
        <w:t>d’offres</w:t>
      </w:r>
    </w:p>
    <w:p w14:paraId="03A8C542" w14:textId="77777777" w:rsidR="001E3FF0" w:rsidRPr="001E3FF0" w:rsidRDefault="001E3FF0" w:rsidP="001E3FF0">
      <w:pPr>
        <w:pStyle w:val="Blockquote"/>
        <w:ind w:left="0" w:right="-2"/>
        <w:jc w:val="both"/>
        <w:rPr>
          <w:sz w:val="22"/>
          <w:szCs w:val="22"/>
        </w:rPr>
      </w:pPr>
      <w:r w:rsidRPr="001E3FF0">
        <w:rPr>
          <w:sz w:val="22"/>
          <w:szCs w:val="22"/>
        </w:rPr>
        <w:t>Une personne physique ou morale ne peut pas soumettre plus d’une offre, quelle que soit la forme de sa participation (en tant qu’entité légale individuelle ou en tant que chef de file ou membre d’un consortium soumettant une offre).  Si une personne physique ou morale soumet plus d’une offre, toutes les offres auxquelles cette personne participe seront rejetées.</w:t>
      </w:r>
    </w:p>
    <w:p w14:paraId="7CA437CF" w14:textId="6A73DE5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10. </w:t>
      </w:r>
      <w:r w:rsidR="0011759E">
        <w:rPr>
          <w:rStyle w:val="Strong"/>
          <w:rFonts w:cs="Times New Roman"/>
          <w:szCs w:val="22"/>
        </w:rPr>
        <w:tab/>
      </w:r>
      <w:r w:rsidRPr="001E3FF0">
        <w:rPr>
          <w:rStyle w:val="Strong"/>
          <w:rFonts w:cs="Times New Roman"/>
          <w:szCs w:val="22"/>
        </w:rPr>
        <w:t xml:space="preserve">Motifs </w:t>
      </w:r>
      <w:r w:rsidRPr="00766B00">
        <w:rPr>
          <w:rStyle w:val="Strong"/>
          <w:rFonts w:cs="Times New Roman"/>
          <w:szCs w:val="22"/>
        </w:rPr>
        <w:t>d’exclusion</w:t>
      </w:r>
    </w:p>
    <w:p w14:paraId="42FE014D" w14:textId="77777777" w:rsidR="001E3FF0" w:rsidRPr="001E3FF0" w:rsidRDefault="001E3FF0" w:rsidP="001E3FF0">
      <w:pPr>
        <w:pStyle w:val="Blockquote"/>
        <w:ind w:left="0" w:right="-2"/>
        <w:jc w:val="both"/>
        <w:rPr>
          <w:sz w:val="22"/>
          <w:szCs w:val="22"/>
        </w:rPr>
      </w:pPr>
      <w:r w:rsidRPr="001E3FF0">
        <w:rPr>
          <w:sz w:val="22"/>
          <w:szCs w:val="22"/>
        </w:rPr>
        <w:t xml:space="preserve">Dans le cadre de l’offre, les soumissionnaires doivent présenter une déclaration signée (incluse dans le bordereau de soumission) par laquelle ils attestent qu’ils ne se trouvent dans aucune des situations d’exclusion visées dans la section 2.6.10.1. du PRAG. </w:t>
      </w:r>
    </w:p>
    <w:p w14:paraId="2584BF9D" w14:textId="77777777" w:rsidR="001E3FF0" w:rsidRPr="001E3FF0" w:rsidRDefault="001E3FF0" w:rsidP="001E3FF0">
      <w:pPr>
        <w:pStyle w:val="Blockquote"/>
        <w:ind w:left="0" w:right="-2"/>
        <w:jc w:val="both"/>
        <w:rPr>
          <w:sz w:val="22"/>
          <w:szCs w:val="22"/>
        </w:rPr>
      </w:pPr>
      <w:r w:rsidRPr="001E3FF0">
        <w:rPr>
          <w:sz w:val="22"/>
          <w:szCs w:val="22"/>
        </w:rPr>
        <w:lastRenderedPageBreak/>
        <w:t xml:space="preserve">Les soumissionnaires figurant sur les listes des personnes, groupes et entités faisant l’objet de mesures restrictives de l’UE (voir section 2.4. du PRAG) au moment de la décision d’attribution ne peuvent se voir attribuer le marché. </w:t>
      </w:r>
    </w:p>
    <w:p w14:paraId="70B7BF4D" w14:textId="7777777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11. </w:t>
      </w:r>
      <w:r w:rsidRPr="001E3FF0">
        <w:rPr>
          <w:rStyle w:val="Strong"/>
          <w:rFonts w:cs="Times New Roman"/>
          <w:szCs w:val="22"/>
        </w:rPr>
        <w:tab/>
        <w:t>Sous-</w:t>
      </w:r>
      <w:r w:rsidRPr="007F7F5A">
        <w:rPr>
          <w:rStyle w:val="Strong"/>
          <w:bCs/>
        </w:rPr>
        <w:t>traitance</w:t>
      </w:r>
    </w:p>
    <w:p w14:paraId="5432E1EF" w14:textId="77777777" w:rsidR="001E3FF0" w:rsidRPr="001E3FF0" w:rsidRDefault="001E3FF0" w:rsidP="001E3FF0">
      <w:pPr>
        <w:pStyle w:val="Blockquote"/>
        <w:ind w:left="0" w:right="-2"/>
        <w:jc w:val="both"/>
        <w:rPr>
          <w:rStyle w:val="Emphasis"/>
          <w:i w:val="0"/>
          <w:sz w:val="22"/>
          <w:szCs w:val="22"/>
        </w:rPr>
      </w:pPr>
      <w:r w:rsidRPr="001E3FF0">
        <w:rPr>
          <w:rStyle w:val="Emphasis"/>
          <w:i w:val="0"/>
          <w:sz w:val="22"/>
          <w:szCs w:val="22"/>
        </w:rPr>
        <w:t>Le recours à la sous-traitance n’est pas autorisé.</w:t>
      </w:r>
    </w:p>
    <w:p w14:paraId="3F127C7E" w14:textId="77777777" w:rsidR="001E3FF0" w:rsidRPr="001E3FF0" w:rsidRDefault="001E3FF0" w:rsidP="001E3FF0">
      <w:pPr>
        <w:pStyle w:val="Heading2"/>
        <w:numPr>
          <w:ilvl w:val="0"/>
          <w:numId w:val="4"/>
        </w:numPr>
        <w:tabs>
          <w:tab w:val="num" w:pos="360"/>
        </w:tabs>
        <w:ind w:left="0" w:firstLine="0"/>
        <w:rPr>
          <w:rStyle w:val="Strong"/>
        </w:rPr>
      </w:pPr>
      <w:bookmarkStart w:id="17" w:name="_Toc227761368"/>
      <w:r w:rsidRPr="001E3FF0">
        <w:rPr>
          <w:rStyle w:val="Strong"/>
        </w:rPr>
        <w:t>CALENDRIER PRÉVISIONNEL</w:t>
      </w:r>
      <w:bookmarkEnd w:id="17"/>
    </w:p>
    <w:p w14:paraId="433ED27A" w14:textId="7777777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12. </w:t>
      </w:r>
      <w:r w:rsidRPr="001E3FF0">
        <w:rPr>
          <w:rStyle w:val="Strong"/>
          <w:rFonts w:cs="Times New Roman"/>
          <w:szCs w:val="22"/>
        </w:rPr>
        <w:tab/>
        <w:t xml:space="preserve">Date </w:t>
      </w:r>
      <w:r w:rsidRPr="00766B00">
        <w:rPr>
          <w:rStyle w:val="Strong"/>
          <w:bCs/>
        </w:rPr>
        <w:t>prévue</w:t>
      </w:r>
      <w:r w:rsidRPr="001E3FF0">
        <w:rPr>
          <w:rStyle w:val="Strong"/>
          <w:rFonts w:cs="Times New Roman"/>
          <w:szCs w:val="22"/>
        </w:rPr>
        <w:t xml:space="preserve"> pour le commencement de l’exécution du marché</w:t>
      </w:r>
    </w:p>
    <w:p w14:paraId="5C1D70F4" w14:textId="77777777" w:rsidR="001E3FF0" w:rsidRPr="001E3FF0" w:rsidRDefault="001E3FF0" w:rsidP="001E3FF0">
      <w:pPr>
        <w:pStyle w:val="Blockquote"/>
        <w:ind w:left="0" w:right="-2"/>
        <w:jc w:val="both"/>
        <w:rPr>
          <w:sz w:val="22"/>
          <w:szCs w:val="22"/>
        </w:rPr>
      </w:pPr>
      <w:r w:rsidRPr="001E3FF0">
        <w:rPr>
          <w:sz w:val="22"/>
          <w:szCs w:val="22"/>
        </w:rPr>
        <w:t>L’exécution du marché débute à compter de la date de signature du contrat.</w:t>
      </w:r>
    </w:p>
    <w:p w14:paraId="70832A49" w14:textId="7777777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13. </w:t>
      </w:r>
      <w:r w:rsidRPr="001E3FF0">
        <w:rPr>
          <w:rStyle w:val="Strong"/>
          <w:rFonts w:cs="Times New Roman"/>
          <w:szCs w:val="22"/>
        </w:rPr>
        <w:tab/>
        <w:t xml:space="preserve">Période de mise en œuvre des tâches </w:t>
      </w:r>
    </w:p>
    <w:p w14:paraId="72FA3711" w14:textId="77777777" w:rsidR="001E3FF0" w:rsidRPr="001E3FF0" w:rsidRDefault="001E3FF0" w:rsidP="001E3FF0">
      <w:pPr>
        <w:pStyle w:val="Blockquote"/>
        <w:ind w:left="0" w:right="-2"/>
        <w:jc w:val="both"/>
        <w:rPr>
          <w:i/>
          <w:iCs/>
          <w:sz w:val="22"/>
          <w:szCs w:val="22"/>
        </w:rPr>
      </w:pPr>
      <w:r w:rsidRPr="001E3FF0">
        <w:rPr>
          <w:rStyle w:val="Emphasis"/>
          <w:iCs/>
          <w:sz w:val="22"/>
          <w:szCs w:val="22"/>
        </w:rPr>
        <w:t>La période de mise en œuvre des taches est : 90 jours à compter de la date de signature du contrat</w:t>
      </w:r>
    </w:p>
    <w:p w14:paraId="041F6D75" w14:textId="77777777" w:rsidR="001E3FF0" w:rsidRPr="001E3FF0" w:rsidRDefault="001E3FF0" w:rsidP="001E3FF0">
      <w:pPr>
        <w:pStyle w:val="Heading2"/>
        <w:numPr>
          <w:ilvl w:val="0"/>
          <w:numId w:val="4"/>
        </w:numPr>
        <w:tabs>
          <w:tab w:val="num" w:pos="360"/>
        </w:tabs>
        <w:ind w:left="0" w:firstLine="0"/>
        <w:rPr>
          <w:rStyle w:val="Strong"/>
        </w:rPr>
      </w:pPr>
      <w:bookmarkStart w:id="18" w:name="_Toc227761369"/>
      <w:r w:rsidRPr="001E3FF0">
        <w:rPr>
          <w:rStyle w:val="Strong"/>
        </w:rPr>
        <w:t>CRITÈRES DE SÉLECTION ET D’ATTRIBUTION</w:t>
      </w:r>
      <w:bookmarkEnd w:id="18"/>
    </w:p>
    <w:p w14:paraId="44B6D2BB" w14:textId="77777777" w:rsidR="001E3FF0" w:rsidRPr="001E3FF0" w:rsidRDefault="001E3FF0" w:rsidP="00766B00">
      <w:pPr>
        <w:pStyle w:val="Heading3"/>
        <w:ind w:left="426" w:hanging="142"/>
        <w:rPr>
          <w:rStyle w:val="Strong"/>
          <w:rFonts w:cs="Times New Roman"/>
          <w:szCs w:val="22"/>
        </w:rPr>
      </w:pPr>
      <w:r w:rsidRPr="001E3FF0">
        <w:rPr>
          <w:rStyle w:val="Strong"/>
          <w:rFonts w:cs="Times New Roman"/>
          <w:szCs w:val="22"/>
        </w:rPr>
        <w:t xml:space="preserve">14. </w:t>
      </w:r>
      <w:r w:rsidRPr="001E3FF0">
        <w:rPr>
          <w:rStyle w:val="Strong"/>
          <w:rFonts w:cs="Times New Roman"/>
          <w:szCs w:val="22"/>
        </w:rPr>
        <w:tab/>
        <w:t xml:space="preserve">Critères </w:t>
      </w:r>
      <w:r w:rsidRPr="00766B00">
        <w:rPr>
          <w:rStyle w:val="Strong"/>
          <w:bCs/>
        </w:rPr>
        <w:t>de</w:t>
      </w:r>
      <w:r w:rsidRPr="001E3FF0">
        <w:rPr>
          <w:rStyle w:val="Strong"/>
          <w:rFonts w:cs="Times New Roman"/>
          <w:szCs w:val="22"/>
        </w:rPr>
        <w:t xml:space="preserve"> sélection</w:t>
      </w:r>
    </w:p>
    <w:p w14:paraId="34BF36BC" w14:textId="77777777" w:rsidR="001E3FF0" w:rsidRPr="001E3FF0" w:rsidRDefault="001E3FF0" w:rsidP="001E3FF0">
      <w:pPr>
        <w:pStyle w:val="Blockquote"/>
        <w:ind w:left="0" w:right="-2"/>
        <w:jc w:val="both"/>
        <w:rPr>
          <w:sz w:val="22"/>
          <w:szCs w:val="22"/>
        </w:rPr>
      </w:pPr>
      <w:r w:rsidRPr="001E3FF0">
        <w:rPr>
          <w:sz w:val="22"/>
          <w:szCs w:val="22"/>
        </w:rPr>
        <w:t>Les critères de sélection suivants seront appliqués aux soumissionnaires. Si une offre est soumise par un consortium, ces critères de sélection s’appliqueront au consortium dans son ensemble, sauf disposition contraire.</w:t>
      </w:r>
    </w:p>
    <w:p w14:paraId="26A3AC3B" w14:textId="77777777" w:rsidR="001E3FF0" w:rsidRPr="001E3FF0" w:rsidRDefault="001E3FF0" w:rsidP="001E3FF0">
      <w:pPr>
        <w:pStyle w:val="Blockquote"/>
        <w:numPr>
          <w:ilvl w:val="0"/>
          <w:numId w:val="1"/>
        </w:numPr>
        <w:ind w:right="0"/>
        <w:jc w:val="both"/>
        <w:rPr>
          <w:sz w:val="22"/>
          <w:szCs w:val="22"/>
        </w:rPr>
      </w:pPr>
      <w:r w:rsidRPr="001E3FF0">
        <w:rPr>
          <w:b/>
          <w:bCs/>
          <w:sz w:val="22"/>
          <w:szCs w:val="22"/>
          <w:u w:val="single"/>
        </w:rPr>
        <w:t>Capacité économique et financière du soumissionnaire</w:t>
      </w:r>
      <w:r w:rsidRPr="001E3FF0">
        <w:rPr>
          <w:sz w:val="22"/>
          <w:szCs w:val="22"/>
        </w:rPr>
        <w:t xml:space="preserve"> (évaluée sur la base des données fournies au point 3 du bordereau de soumission). Si le soumissionnaire est un organisme public, des informations équivalentes doivent être fournies. La période de référence qui sera prise en compte correspond aux trois derniers exercices financiers clos 2023-2024-2025.</w:t>
      </w:r>
    </w:p>
    <w:p w14:paraId="7013166B" w14:textId="77777777" w:rsidR="001E3FF0" w:rsidRPr="001E3FF0" w:rsidRDefault="001E3FF0" w:rsidP="001E3FF0">
      <w:pPr>
        <w:pStyle w:val="Blockquote"/>
        <w:tabs>
          <w:tab w:val="left" w:pos="709"/>
        </w:tabs>
        <w:ind w:left="0" w:right="0"/>
        <w:jc w:val="both"/>
        <w:rPr>
          <w:sz w:val="22"/>
          <w:szCs w:val="22"/>
        </w:rPr>
      </w:pPr>
      <w:r w:rsidRPr="001E3FF0">
        <w:rPr>
          <w:sz w:val="22"/>
          <w:szCs w:val="22"/>
        </w:rPr>
        <w:t>Les critères de sélection pour chaque soumissionnaire sont les suivants :</w:t>
      </w:r>
    </w:p>
    <w:p w14:paraId="274FEF8C" w14:textId="77777777" w:rsidR="001E3FF0" w:rsidRPr="001E3FF0" w:rsidRDefault="001E3FF0" w:rsidP="001E3FF0">
      <w:pPr>
        <w:pStyle w:val="Blockquote"/>
        <w:numPr>
          <w:ilvl w:val="0"/>
          <w:numId w:val="7"/>
        </w:numPr>
        <w:ind w:left="1276" w:right="0" w:hanging="425"/>
        <w:jc w:val="both"/>
        <w:rPr>
          <w:sz w:val="22"/>
          <w:szCs w:val="22"/>
        </w:rPr>
      </w:pPr>
      <w:r w:rsidRPr="001E3FF0">
        <w:rPr>
          <w:sz w:val="22"/>
          <w:szCs w:val="22"/>
        </w:rPr>
        <w:t>Avoir un chiffre d’affaires annuel moyen d’au moins 200 000 EUR (Deux cent mille Euros), sur les trois dernières années (2023, 2024, 2025).</w:t>
      </w:r>
    </w:p>
    <w:p w14:paraId="40A59E42" w14:textId="77777777" w:rsidR="001E3FF0" w:rsidRPr="001E3FF0" w:rsidRDefault="001E3FF0" w:rsidP="001E3FF0">
      <w:pPr>
        <w:pStyle w:val="Blockquote"/>
        <w:ind w:left="1276" w:right="0"/>
        <w:jc w:val="both"/>
        <w:rPr>
          <w:sz w:val="22"/>
          <w:szCs w:val="22"/>
        </w:rPr>
      </w:pPr>
      <w:r w:rsidRPr="001E3FF0">
        <w:rPr>
          <w:sz w:val="22"/>
          <w:szCs w:val="22"/>
        </w:rPr>
        <w:t>Le pouvoir adjudicateur se réserve le droit de vérifier la cohérence des données financières fournies et de demander toute clarification ou document complémentaire.</w:t>
      </w:r>
    </w:p>
    <w:p w14:paraId="2CB51FFF" w14:textId="77777777" w:rsidR="001E3FF0" w:rsidRPr="001E3FF0" w:rsidRDefault="001E3FF0" w:rsidP="001E3FF0">
      <w:pPr>
        <w:pStyle w:val="Blockquote"/>
        <w:ind w:left="709" w:firstLine="567"/>
        <w:jc w:val="both"/>
        <w:rPr>
          <w:sz w:val="22"/>
          <w:szCs w:val="22"/>
        </w:rPr>
      </w:pPr>
      <w:r w:rsidRPr="001E3FF0">
        <w:rPr>
          <w:sz w:val="22"/>
          <w:szCs w:val="22"/>
        </w:rPr>
        <w:t>À défaut de satisfaire à ce critère, l’offre sera rejetée.</w:t>
      </w:r>
    </w:p>
    <w:p w14:paraId="3B994132" w14:textId="77777777" w:rsidR="001E3FF0" w:rsidRPr="001E3FF0" w:rsidRDefault="001E3FF0" w:rsidP="001E3FF0">
      <w:pPr>
        <w:pStyle w:val="Blockquote"/>
        <w:ind w:left="1276" w:right="0"/>
        <w:jc w:val="both"/>
        <w:rPr>
          <w:sz w:val="22"/>
          <w:szCs w:val="22"/>
        </w:rPr>
      </w:pPr>
      <w:r w:rsidRPr="001E3FF0">
        <w:rPr>
          <w:sz w:val="22"/>
          <w:szCs w:val="22"/>
        </w:rPr>
        <w:t>Dans le cas d’un consortium (groupement), ce critère doit être respecté individuellement par chaque membre.</w:t>
      </w:r>
    </w:p>
    <w:p w14:paraId="0166E08D" w14:textId="77777777" w:rsidR="001E3FF0" w:rsidRPr="001E3FF0" w:rsidRDefault="001E3FF0" w:rsidP="001E3FF0">
      <w:pPr>
        <w:pStyle w:val="Blockquote"/>
        <w:numPr>
          <w:ilvl w:val="0"/>
          <w:numId w:val="1"/>
        </w:numPr>
        <w:ind w:left="284" w:right="0"/>
        <w:jc w:val="both"/>
        <w:rPr>
          <w:sz w:val="22"/>
          <w:szCs w:val="22"/>
        </w:rPr>
      </w:pPr>
      <w:r w:rsidRPr="001E3FF0">
        <w:rPr>
          <w:b/>
          <w:bCs/>
          <w:sz w:val="22"/>
          <w:szCs w:val="22"/>
          <w:u w:val="single"/>
        </w:rPr>
        <w:t>Capacité professionnelle du soumissionnaire</w:t>
      </w:r>
      <w:r w:rsidRPr="001E3FF0">
        <w:rPr>
          <w:sz w:val="22"/>
          <w:szCs w:val="22"/>
        </w:rPr>
        <w:t xml:space="preserve"> (évaluée sur la base des données fournies au point 4 du bordereau de soumission).</w:t>
      </w:r>
    </w:p>
    <w:p w14:paraId="62C13C57" w14:textId="77777777" w:rsidR="001E3FF0" w:rsidRPr="001E3FF0" w:rsidRDefault="001E3FF0" w:rsidP="001E3FF0">
      <w:pPr>
        <w:pStyle w:val="Blockquote"/>
        <w:tabs>
          <w:tab w:val="left" w:pos="709"/>
        </w:tabs>
        <w:ind w:left="0" w:right="0"/>
        <w:jc w:val="both"/>
        <w:rPr>
          <w:sz w:val="22"/>
          <w:szCs w:val="22"/>
        </w:rPr>
      </w:pPr>
      <w:r w:rsidRPr="001E3FF0">
        <w:rPr>
          <w:sz w:val="22"/>
          <w:szCs w:val="22"/>
        </w:rPr>
        <w:t>La période de référence qui sera prise en considération correspond aux trois derniers exercices précédant la date limite de soumission.</w:t>
      </w:r>
    </w:p>
    <w:p w14:paraId="2A34BB83" w14:textId="77777777" w:rsidR="001E3FF0" w:rsidRPr="001E3FF0" w:rsidRDefault="001E3FF0" w:rsidP="001E3FF0">
      <w:pPr>
        <w:pStyle w:val="Blockquote"/>
        <w:numPr>
          <w:ilvl w:val="0"/>
          <w:numId w:val="7"/>
        </w:numPr>
        <w:ind w:left="1276" w:right="0" w:hanging="425"/>
        <w:jc w:val="both"/>
        <w:rPr>
          <w:sz w:val="22"/>
          <w:szCs w:val="22"/>
        </w:rPr>
      </w:pPr>
      <w:r w:rsidRPr="001E3FF0">
        <w:rPr>
          <w:sz w:val="22"/>
          <w:szCs w:val="22"/>
        </w:rPr>
        <w:t xml:space="preserve">Avoir la certification professionnelle appropriée pour ce marché, telle que la certification/agrément de distribution délivrée par les fabricants (autorisation du fabricant) ;          </w:t>
      </w:r>
      <w:r w:rsidRPr="001E3FF0">
        <w:rPr>
          <w:sz w:val="22"/>
          <w:szCs w:val="22"/>
        </w:rPr>
        <w:br/>
      </w:r>
    </w:p>
    <w:p w14:paraId="440A50BB" w14:textId="77777777" w:rsidR="001E3FF0" w:rsidRPr="001E3FF0" w:rsidRDefault="001E3FF0" w:rsidP="001E3FF0">
      <w:pPr>
        <w:pStyle w:val="Blockquote"/>
        <w:numPr>
          <w:ilvl w:val="0"/>
          <w:numId w:val="1"/>
        </w:numPr>
        <w:ind w:left="284" w:right="0"/>
        <w:jc w:val="both"/>
        <w:rPr>
          <w:sz w:val="22"/>
          <w:szCs w:val="22"/>
        </w:rPr>
      </w:pPr>
      <w:r w:rsidRPr="001E3FF0">
        <w:rPr>
          <w:b/>
          <w:sz w:val="22"/>
          <w:szCs w:val="22"/>
          <w:u w:val="single"/>
        </w:rPr>
        <w:t>Capacité technique du soumissionnaire</w:t>
      </w:r>
      <w:r w:rsidRPr="001E3FF0">
        <w:rPr>
          <w:sz w:val="22"/>
          <w:szCs w:val="22"/>
        </w:rPr>
        <w:t xml:space="preserve"> (sur la base des données fournies aux points 5 et 6 du bordereau de soumission). La période de référence qui sera prise en compte correspond aux trois derniers exercices précédant la date limite de soumission (2023, 2024, 2025).</w:t>
      </w:r>
    </w:p>
    <w:p w14:paraId="5AC7DBFE" w14:textId="77777777" w:rsidR="001E3FF0" w:rsidRPr="001E3FF0" w:rsidRDefault="001E3FF0" w:rsidP="001E3FF0">
      <w:pPr>
        <w:pStyle w:val="Blockquote"/>
        <w:numPr>
          <w:ilvl w:val="0"/>
          <w:numId w:val="7"/>
        </w:numPr>
        <w:ind w:left="1276" w:right="0" w:hanging="425"/>
        <w:jc w:val="both"/>
        <w:rPr>
          <w:bCs/>
          <w:sz w:val="22"/>
          <w:szCs w:val="22"/>
        </w:rPr>
      </w:pPr>
      <w:r w:rsidRPr="001E3FF0">
        <w:rPr>
          <w:bCs/>
          <w:sz w:val="22"/>
          <w:szCs w:val="22"/>
        </w:rPr>
        <w:t>Expérience du soumissionnaire en matière de fourniture de véhicules similaires à ceux qui sont dans ce marché. Au moins deux (2) marchés exécutés au cours des trois (3) dernières années, attestés par des certificats de bonne exécution au tout document équivalent.</w:t>
      </w:r>
    </w:p>
    <w:p w14:paraId="404F72BE" w14:textId="77777777" w:rsidR="001E3FF0" w:rsidRPr="001E3FF0" w:rsidRDefault="001E3FF0" w:rsidP="001E3FF0">
      <w:pPr>
        <w:pStyle w:val="Blockquote"/>
        <w:tabs>
          <w:tab w:val="left" w:pos="709"/>
        </w:tabs>
        <w:ind w:left="0" w:right="0"/>
        <w:jc w:val="both"/>
        <w:rPr>
          <w:sz w:val="22"/>
          <w:szCs w:val="22"/>
        </w:rPr>
      </w:pPr>
      <w:r w:rsidRPr="001E3FF0">
        <w:rPr>
          <w:sz w:val="22"/>
          <w:szCs w:val="22"/>
        </w:rPr>
        <w:t xml:space="preserve">Cela signifie que le marché auquel le soumissionnaire se réfère peut avoir commencé à tout moment au cours de la période indiquée, mais ne doit pas nécessairement avoir été mené à son terme durant cette période, ni avoir été exécuté pendant toute la période concernée. Les soumissionnaires peuvent se référer soit à des marchés de fournitures menés à leur terme pendant la période de référence (bien qu’entamés avant cette période) soit à des marchés de fournitures non encore menés à leur terme. Seule la partie qui a été menée à bien pendant la période </w:t>
      </w:r>
      <w:r w:rsidRPr="001E3FF0">
        <w:rPr>
          <w:sz w:val="22"/>
          <w:szCs w:val="22"/>
        </w:rPr>
        <w:lastRenderedPageBreak/>
        <w:t>de référence sera prise en considération. La bonne réalisation de cette partie devra être étayée par des pièces justificatives (déclaration ou attestation émanant de l’entité qui a attribué le marché, preuve de paiement), avec indication du montant correspondant. Si le marché de fournitures a été mis en œuvre par le soumissionnaire dans le cadre d’un consortium, les pièces justificatives devront faire clairement état de la part (en pourcentage) que le soumissionnaire a menée à bien. Si des critères de sélection relatifs à la pertinence de l’expérience sont appliqués, les pièces justificatives devront également contenir une description de la nature des fournitures livrées.</w:t>
      </w:r>
    </w:p>
    <w:p w14:paraId="42F1CA33" w14:textId="77777777" w:rsidR="001E3FF0" w:rsidRPr="001E3FF0" w:rsidRDefault="001E3FF0" w:rsidP="001E3FF0">
      <w:pPr>
        <w:pStyle w:val="Blockquote"/>
        <w:ind w:left="0" w:right="0"/>
        <w:jc w:val="both"/>
        <w:rPr>
          <w:sz w:val="22"/>
          <w:szCs w:val="22"/>
        </w:rPr>
      </w:pPr>
      <w:r w:rsidRPr="001E3FF0">
        <w:rPr>
          <w:sz w:val="22"/>
          <w:szCs w:val="22"/>
        </w:rPr>
        <w:t>Une expérience antérieure qui se serait soldée par une rupture du contrat et une résiliation par le pouvoir adjudicateur ne peut pas être utilisée comme référence. Cela vaut également pour l’expérience antérieure des experts requis dans le cadre d’un marché de services à prix unitaires.</w:t>
      </w:r>
    </w:p>
    <w:p w14:paraId="50E6E4F0" w14:textId="77777777" w:rsidR="001E3FF0" w:rsidRPr="001A34B1" w:rsidRDefault="001E3FF0" w:rsidP="00766B00">
      <w:pPr>
        <w:pStyle w:val="Heading3"/>
        <w:ind w:left="426" w:hanging="142"/>
        <w:rPr>
          <w:rStyle w:val="Strong"/>
          <w:bCs/>
        </w:rPr>
      </w:pPr>
      <w:r w:rsidRPr="001A34B1">
        <w:rPr>
          <w:rStyle w:val="Strong"/>
          <w:bCs/>
        </w:rPr>
        <w:t xml:space="preserve">15. </w:t>
      </w:r>
      <w:r w:rsidRPr="001A34B1">
        <w:rPr>
          <w:rStyle w:val="Strong"/>
          <w:bCs/>
        </w:rPr>
        <w:tab/>
        <w:t>Critère d’attribution</w:t>
      </w:r>
    </w:p>
    <w:p w14:paraId="44E99FEE" w14:textId="77777777" w:rsidR="001E3FF0" w:rsidRPr="001E3FF0" w:rsidRDefault="001E3FF0" w:rsidP="001E3FF0">
      <w:pPr>
        <w:pStyle w:val="Blockquote"/>
        <w:ind w:left="0" w:right="1"/>
        <w:jc w:val="both"/>
        <w:rPr>
          <w:sz w:val="22"/>
          <w:szCs w:val="22"/>
        </w:rPr>
      </w:pPr>
      <w:r w:rsidRPr="001E3FF0">
        <w:rPr>
          <w:sz w:val="22"/>
          <w:szCs w:val="22"/>
        </w:rPr>
        <w:t xml:space="preserve">Meilleur prix </w:t>
      </w:r>
    </w:p>
    <w:p w14:paraId="51A95802" w14:textId="77777777" w:rsidR="001E3FF0" w:rsidRPr="001E3FF0" w:rsidRDefault="001E3FF0" w:rsidP="001E3FF0">
      <w:pPr>
        <w:pStyle w:val="Heading2"/>
        <w:numPr>
          <w:ilvl w:val="0"/>
          <w:numId w:val="4"/>
        </w:numPr>
        <w:tabs>
          <w:tab w:val="num" w:pos="360"/>
        </w:tabs>
        <w:ind w:left="0" w:firstLine="0"/>
        <w:rPr>
          <w:rStyle w:val="Strong"/>
        </w:rPr>
      </w:pPr>
      <w:bookmarkStart w:id="19" w:name="_Toc227761370"/>
      <w:r w:rsidRPr="001E3FF0">
        <w:rPr>
          <w:rStyle w:val="Strong"/>
        </w:rPr>
        <w:t>SOUMISSION DES OFFRES</w:t>
      </w:r>
      <w:bookmarkEnd w:id="19"/>
    </w:p>
    <w:p w14:paraId="68A229CD" w14:textId="7777777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16. </w:t>
      </w:r>
      <w:r w:rsidRPr="001E3FF0">
        <w:rPr>
          <w:rStyle w:val="Strong"/>
          <w:rFonts w:cs="Times New Roman"/>
          <w:szCs w:val="22"/>
        </w:rPr>
        <w:tab/>
        <w:t xml:space="preserve">Date limite </w:t>
      </w:r>
      <w:r w:rsidRPr="007F7F5A">
        <w:rPr>
          <w:rStyle w:val="Strong"/>
          <w:bCs/>
        </w:rPr>
        <w:t>pour</w:t>
      </w:r>
      <w:r w:rsidRPr="001E3FF0">
        <w:rPr>
          <w:rStyle w:val="Strong"/>
          <w:rFonts w:cs="Times New Roman"/>
          <w:szCs w:val="22"/>
        </w:rPr>
        <w:t xml:space="preserve"> la soumission des offres</w:t>
      </w:r>
    </w:p>
    <w:p w14:paraId="302A9EF3" w14:textId="77777777" w:rsidR="001E3FF0" w:rsidRPr="001E3FF0" w:rsidRDefault="001E3FF0" w:rsidP="001E3FF0">
      <w:pPr>
        <w:pStyle w:val="Blockquote"/>
        <w:ind w:left="0" w:right="1"/>
        <w:jc w:val="both"/>
        <w:rPr>
          <w:i/>
          <w:iCs/>
          <w:sz w:val="22"/>
          <w:szCs w:val="22"/>
        </w:rPr>
      </w:pPr>
      <w:r w:rsidRPr="001E3FF0">
        <w:rPr>
          <w:rStyle w:val="Emphasis"/>
          <w:iCs/>
          <w:sz w:val="22"/>
          <w:szCs w:val="22"/>
        </w:rPr>
        <w:t xml:space="preserve">La date limite pour la soumission des offres est </w:t>
      </w:r>
      <w:r w:rsidRPr="001E3FF0">
        <w:rPr>
          <w:rStyle w:val="Emphasis"/>
          <w:b/>
          <w:bCs/>
          <w:iCs/>
          <w:sz w:val="22"/>
          <w:szCs w:val="22"/>
        </w:rPr>
        <w:t>le 26/05/2026 à 15h00.</w:t>
      </w:r>
      <w:r w:rsidRPr="001E3FF0">
        <w:rPr>
          <w:rStyle w:val="Emphasis"/>
          <w:iCs/>
          <w:sz w:val="22"/>
          <w:szCs w:val="22"/>
        </w:rPr>
        <w:t xml:space="preserve">    </w:t>
      </w:r>
    </w:p>
    <w:p w14:paraId="6E20A552" w14:textId="7777777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17. </w:t>
      </w:r>
      <w:r w:rsidRPr="001E3FF0">
        <w:rPr>
          <w:rStyle w:val="Strong"/>
          <w:rFonts w:cs="Times New Roman"/>
          <w:szCs w:val="22"/>
        </w:rPr>
        <w:tab/>
      </w:r>
      <w:r w:rsidRPr="00766B00">
        <w:rPr>
          <w:rStyle w:val="Strong"/>
          <w:bCs/>
        </w:rPr>
        <w:t>Présentation</w:t>
      </w:r>
      <w:r w:rsidRPr="001E3FF0">
        <w:rPr>
          <w:rStyle w:val="Strong"/>
          <w:rFonts w:cs="Times New Roman"/>
          <w:szCs w:val="22"/>
        </w:rPr>
        <w:t xml:space="preserve"> des offres et renseignements à fournir</w:t>
      </w:r>
    </w:p>
    <w:p w14:paraId="75731AD8" w14:textId="77777777" w:rsidR="001E3FF0" w:rsidRPr="001E3FF0" w:rsidRDefault="001E3FF0" w:rsidP="001E3FF0">
      <w:pPr>
        <w:pStyle w:val="Blockquote"/>
        <w:ind w:left="0" w:right="1"/>
        <w:jc w:val="both"/>
        <w:rPr>
          <w:sz w:val="22"/>
          <w:szCs w:val="22"/>
        </w:rPr>
      </w:pPr>
      <w:r w:rsidRPr="001E3FF0">
        <w:rPr>
          <w:rStyle w:val="Strong"/>
          <w:szCs w:val="22"/>
        </w:rPr>
        <w:t>Les offres doivent être soumises à l’aide du bordereau type de soumission.</w:t>
      </w:r>
      <w:r w:rsidRPr="001E3FF0">
        <w:rPr>
          <w:sz w:val="22"/>
          <w:szCs w:val="22"/>
        </w:rPr>
        <w:t xml:space="preserve"> </w:t>
      </w:r>
    </w:p>
    <w:p w14:paraId="5BD9CB93" w14:textId="77777777" w:rsidR="001E3FF0" w:rsidRPr="001E3FF0" w:rsidRDefault="001E3FF0" w:rsidP="001E3FF0">
      <w:pPr>
        <w:pStyle w:val="Blockquote"/>
        <w:ind w:left="0" w:right="1"/>
        <w:jc w:val="both"/>
        <w:rPr>
          <w:sz w:val="22"/>
          <w:szCs w:val="22"/>
        </w:rPr>
      </w:pPr>
      <w:r w:rsidRPr="001E3FF0">
        <w:rPr>
          <w:sz w:val="22"/>
          <w:szCs w:val="22"/>
        </w:rPr>
        <w:t>L’offre doit être accompagnée d’une déclaration sur l’honneur relative aux critères d’exclusion et de sélection établie au moyen du modèle se trouvant à l’Annexe 1.</w:t>
      </w:r>
    </w:p>
    <w:p w14:paraId="4D63B106" w14:textId="7777777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18. </w:t>
      </w:r>
      <w:r w:rsidRPr="001E3FF0">
        <w:rPr>
          <w:rStyle w:val="Strong"/>
          <w:rFonts w:cs="Times New Roman"/>
          <w:szCs w:val="22"/>
        </w:rPr>
        <w:tab/>
        <w:t xml:space="preserve">Modalités de </w:t>
      </w:r>
      <w:r w:rsidRPr="007F7F5A">
        <w:rPr>
          <w:rStyle w:val="Strong"/>
          <w:bCs/>
        </w:rPr>
        <w:t>soumission</w:t>
      </w:r>
      <w:r w:rsidRPr="001E3FF0">
        <w:rPr>
          <w:rStyle w:val="Strong"/>
          <w:rFonts w:cs="Times New Roman"/>
          <w:szCs w:val="22"/>
        </w:rPr>
        <w:t xml:space="preserve"> des offres</w:t>
      </w:r>
    </w:p>
    <w:p w14:paraId="048B1F3B" w14:textId="77777777" w:rsidR="001E3FF0" w:rsidRPr="001E3FF0" w:rsidRDefault="001E3FF0" w:rsidP="001E3FF0">
      <w:pPr>
        <w:pStyle w:val="Blockquote"/>
        <w:ind w:left="0" w:right="1"/>
        <w:jc w:val="both"/>
        <w:rPr>
          <w:sz w:val="22"/>
          <w:szCs w:val="22"/>
        </w:rPr>
      </w:pPr>
      <w:r w:rsidRPr="001E3FF0">
        <w:rPr>
          <w:sz w:val="22"/>
          <w:szCs w:val="22"/>
        </w:rPr>
        <w:t xml:space="preserve">Les offres doivent être rédigées en français et soumises, par les moyens indiqués au point 10 des instructions aux soumissionnaires, exclusivement au pouvoir adjudicateur.  </w:t>
      </w:r>
    </w:p>
    <w:p w14:paraId="6839CB0F" w14:textId="77777777" w:rsidR="001E3FF0" w:rsidRPr="001E3FF0" w:rsidRDefault="001E3FF0" w:rsidP="001E3FF0">
      <w:pPr>
        <w:pStyle w:val="Blockquote"/>
        <w:ind w:left="0"/>
        <w:jc w:val="both"/>
        <w:rPr>
          <w:rStyle w:val="Strong"/>
          <w:b w:val="0"/>
          <w:szCs w:val="22"/>
        </w:rPr>
      </w:pPr>
      <w:r w:rsidRPr="001E3FF0">
        <w:rPr>
          <w:rStyle w:val="Strong"/>
          <w:szCs w:val="22"/>
        </w:rPr>
        <w:t>Les offres soumises par d’autres moyens ne seront pas prises en considération.</w:t>
      </w:r>
    </w:p>
    <w:p w14:paraId="0C2FFA3C" w14:textId="77777777" w:rsidR="001E3FF0" w:rsidRPr="001E3FF0" w:rsidRDefault="001E3FF0" w:rsidP="001E3FF0">
      <w:pPr>
        <w:pStyle w:val="Blockquote"/>
        <w:ind w:left="0" w:right="1"/>
        <w:jc w:val="both"/>
        <w:rPr>
          <w:rStyle w:val="Strong"/>
          <w:b w:val="0"/>
          <w:szCs w:val="22"/>
        </w:rPr>
      </w:pPr>
      <w:r w:rsidRPr="001E3FF0">
        <w:rPr>
          <w:sz w:val="22"/>
          <w:szCs w:val="22"/>
        </w:rPr>
        <w:t>En soumettant une offre, les soumissionnaires acceptent d’être informés de l’issue de la procédure par voie électronique.</w:t>
      </w:r>
    </w:p>
    <w:p w14:paraId="279F85F9" w14:textId="77777777" w:rsidR="001E3FF0" w:rsidRPr="001E3FF0" w:rsidRDefault="001E3FF0" w:rsidP="00766B00">
      <w:pPr>
        <w:pStyle w:val="Heading3"/>
        <w:ind w:left="426" w:hanging="142"/>
        <w:rPr>
          <w:rFonts w:cs="Times New Roman"/>
          <w:b/>
          <w:szCs w:val="22"/>
        </w:rPr>
      </w:pPr>
      <w:r w:rsidRPr="001E3FF0">
        <w:rPr>
          <w:rStyle w:val="Strong"/>
          <w:rFonts w:cs="Times New Roman"/>
          <w:szCs w:val="22"/>
        </w:rPr>
        <w:t>19.</w:t>
      </w:r>
      <w:r w:rsidRPr="001E3FF0">
        <w:rPr>
          <w:rStyle w:val="Strong"/>
          <w:rFonts w:cs="Times New Roman"/>
          <w:szCs w:val="22"/>
        </w:rPr>
        <w:tab/>
        <w:t xml:space="preserve"> </w:t>
      </w:r>
      <w:r w:rsidRPr="00766B00">
        <w:rPr>
          <w:rStyle w:val="Strong"/>
          <w:rFonts w:cs="Times New Roman"/>
          <w:szCs w:val="22"/>
        </w:rPr>
        <w:t>Modification</w:t>
      </w:r>
      <w:r w:rsidRPr="001E3FF0">
        <w:rPr>
          <w:rStyle w:val="Strong"/>
          <w:rFonts w:cs="Times New Roman"/>
          <w:szCs w:val="22"/>
        </w:rPr>
        <w:t xml:space="preserve"> ou retrait des offres</w:t>
      </w:r>
    </w:p>
    <w:p w14:paraId="2DE36172" w14:textId="77777777" w:rsidR="001E3FF0" w:rsidRPr="001E3FF0" w:rsidRDefault="001E3FF0" w:rsidP="001E3FF0">
      <w:pPr>
        <w:pStyle w:val="Blockquote"/>
        <w:ind w:left="0" w:right="1"/>
        <w:jc w:val="both"/>
        <w:rPr>
          <w:sz w:val="22"/>
          <w:szCs w:val="22"/>
        </w:rPr>
      </w:pPr>
      <w:r w:rsidRPr="001E3FF0">
        <w:rPr>
          <w:sz w:val="22"/>
          <w:szCs w:val="22"/>
        </w:rPr>
        <w:t>Les soumissionnaires peuvent modifier ou retirer leur offre par notification écrite avant la date limite de soumission des offres. Aucune offre ne pourra être modifiée après cette date limite.</w:t>
      </w:r>
    </w:p>
    <w:p w14:paraId="071E30E7" w14:textId="77777777" w:rsidR="001E3FF0" w:rsidRPr="001E3FF0" w:rsidRDefault="001E3FF0" w:rsidP="001E3FF0">
      <w:pPr>
        <w:pStyle w:val="Blockquote"/>
        <w:ind w:left="0" w:right="1"/>
        <w:jc w:val="both"/>
        <w:rPr>
          <w:sz w:val="22"/>
          <w:szCs w:val="22"/>
        </w:rPr>
      </w:pPr>
      <w:r w:rsidRPr="001E3FF0">
        <w:rPr>
          <w:sz w:val="22"/>
          <w:szCs w:val="22"/>
        </w:rPr>
        <w:t xml:space="preserve">Toute notification de modification ou de retrait doit être établie et soumise conformément au point 15 des instructions aux soumissionnaires. </w:t>
      </w:r>
    </w:p>
    <w:p w14:paraId="2C46C345" w14:textId="77777777" w:rsidR="001E3FF0" w:rsidRPr="001E3FF0" w:rsidRDefault="001E3FF0" w:rsidP="00766B00">
      <w:pPr>
        <w:pStyle w:val="Heading3"/>
        <w:ind w:left="426" w:hanging="142"/>
        <w:rPr>
          <w:rFonts w:cs="Times New Roman"/>
          <w:szCs w:val="22"/>
        </w:rPr>
      </w:pPr>
      <w:r w:rsidRPr="001E3FF0">
        <w:rPr>
          <w:rStyle w:val="Strong"/>
          <w:rFonts w:cs="Times New Roman"/>
          <w:szCs w:val="22"/>
        </w:rPr>
        <w:t xml:space="preserve">20. </w:t>
      </w:r>
      <w:r w:rsidRPr="001E3FF0">
        <w:rPr>
          <w:rStyle w:val="Strong"/>
          <w:rFonts w:cs="Times New Roman"/>
          <w:szCs w:val="22"/>
        </w:rPr>
        <w:tab/>
        <w:t xml:space="preserve">Langue de </w:t>
      </w:r>
      <w:r w:rsidRPr="007F7F5A">
        <w:rPr>
          <w:rStyle w:val="Strong"/>
          <w:bCs/>
        </w:rPr>
        <w:t>travail</w:t>
      </w:r>
    </w:p>
    <w:p w14:paraId="31BDEE22" w14:textId="77777777" w:rsidR="001E3FF0" w:rsidRPr="001E3FF0" w:rsidRDefault="001E3FF0" w:rsidP="001E3FF0">
      <w:pPr>
        <w:pStyle w:val="Blockquote"/>
        <w:ind w:left="0" w:right="1"/>
        <w:jc w:val="both"/>
        <w:rPr>
          <w:i/>
          <w:sz w:val="22"/>
          <w:szCs w:val="22"/>
        </w:rPr>
      </w:pPr>
      <w:r w:rsidRPr="001E3FF0">
        <w:rPr>
          <w:rStyle w:val="Emphasis"/>
          <w:iCs/>
          <w:sz w:val="22"/>
          <w:szCs w:val="22"/>
        </w:rPr>
        <w:t>Le français sera utilisé dans toute communication écrite relative au présent appel d’offres</w:t>
      </w:r>
      <w:r w:rsidRPr="001E3FF0">
        <w:rPr>
          <w:rStyle w:val="Emphasis"/>
          <w:sz w:val="22"/>
          <w:szCs w:val="22"/>
        </w:rPr>
        <w:t xml:space="preserve"> et </w:t>
      </w:r>
      <w:r w:rsidRPr="001E3FF0">
        <w:rPr>
          <w:rStyle w:val="Emphasis"/>
          <w:iCs/>
          <w:sz w:val="22"/>
          <w:szCs w:val="22"/>
        </w:rPr>
        <w:t>au présent marché</w:t>
      </w:r>
      <w:r w:rsidRPr="001E3FF0">
        <w:rPr>
          <w:rStyle w:val="Emphasis"/>
          <w:sz w:val="22"/>
          <w:szCs w:val="22"/>
        </w:rPr>
        <w:t xml:space="preserve">.  </w:t>
      </w:r>
    </w:p>
    <w:p w14:paraId="5E654D71" w14:textId="7A258DB6" w:rsidR="001E3FF0" w:rsidRPr="001E3FF0" w:rsidRDefault="001E3FF0" w:rsidP="00766B00">
      <w:pPr>
        <w:pStyle w:val="Heading3"/>
        <w:ind w:left="426" w:hanging="142"/>
        <w:rPr>
          <w:rFonts w:cs="Times New Roman"/>
          <w:b/>
          <w:szCs w:val="22"/>
        </w:rPr>
      </w:pPr>
      <w:r w:rsidRPr="001E3FF0">
        <w:rPr>
          <w:rFonts w:cs="Times New Roman"/>
          <w:b/>
          <w:szCs w:val="22"/>
        </w:rPr>
        <w:t xml:space="preserve">21. </w:t>
      </w:r>
      <w:r w:rsidR="0011759E">
        <w:rPr>
          <w:rFonts w:cs="Times New Roman"/>
          <w:b/>
          <w:szCs w:val="22"/>
        </w:rPr>
        <w:tab/>
      </w:r>
      <w:r w:rsidRPr="00766B00">
        <w:rPr>
          <w:rStyle w:val="Strong"/>
          <w:rFonts w:cs="Times New Roman"/>
          <w:szCs w:val="22"/>
        </w:rPr>
        <w:t>Informations</w:t>
      </w:r>
      <w:r w:rsidRPr="001E3FF0">
        <w:rPr>
          <w:rFonts w:cs="Times New Roman"/>
          <w:b/>
          <w:szCs w:val="22"/>
        </w:rPr>
        <w:t xml:space="preserve"> </w:t>
      </w:r>
      <w:r w:rsidRPr="00766B00">
        <w:rPr>
          <w:rStyle w:val="Strong"/>
          <w:bCs/>
        </w:rPr>
        <w:t>complémentaires</w:t>
      </w:r>
    </w:p>
    <w:p w14:paraId="14A1B117" w14:textId="486F31D3" w:rsidR="0051594A" w:rsidRPr="007F7F5A" w:rsidRDefault="001E3FF0" w:rsidP="007F7F5A">
      <w:pPr>
        <w:pStyle w:val="Blockquote"/>
        <w:ind w:left="0" w:right="1"/>
        <w:jc w:val="both"/>
        <w:rPr>
          <w:sz w:val="22"/>
          <w:szCs w:val="22"/>
        </w:rPr>
      </w:pPr>
      <w:r w:rsidRPr="001E3FF0">
        <w:rPr>
          <w:sz w:val="22"/>
          <w:szCs w:val="22"/>
        </w:rPr>
        <w:t xml:space="preserve">Les données financières que le candidat doit fournir dans le formulaire type de candidature doivent être exprimées en EUR. Le cas échéant, lorsqu’un candidat mentionne des montants initialement exprimés dans une autre monnaie, la conversion en EUR est effectuée conformément au taux de change </w:t>
      </w:r>
      <w:proofErr w:type="spellStart"/>
      <w:r w:rsidRPr="001E3FF0">
        <w:rPr>
          <w:sz w:val="22"/>
          <w:szCs w:val="22"/>
        </w:rPr>
        <w:t>InforEuro</w:t>
      </w:r>
      <w:proofErr w:type="spellEnd"/>
      <w:r w:rsidRPr="001E3FF0">
        <w:rPr>
          <w:sz w:val="22"/>
          <w:szCs w:val="22"/>
        </w:rPr>
        <w:t xml:space="preserve"> de </w:t>
      </w:r>
      <w:r w:rsidRPr="001E3FF0">
        <w:rPr>
          <w:b/>
          <w:sz w:val="22"/>
          <w:szCs w:val="22"/>
        </w:rPr>
        <w:t xml:space="preserve">MOIS et ANNÉE </w:t>
      </w:r>
      <w:r w:rsidRPr="001E3FF0">
        <w:rPr>
          <w:sz w:val="22"/>
          <w:szCs w:val="22"/>
        </w:rPr>
        <w:t xml:space="preserve">correspondant à la date limite de dépôt des offres, qui peut être consulté à l’adresse suivante: </w:t>
      </w:r>
      <w:hyperlink r:id="rId7" w:history="1">
        <w:r w:rsidR="00F37711" w:rsidRPr="00B90100">
          <w:rPr>
            <w:rStyle w:val="Hyperlink"/>
            <w:sz w:val="22"/>
            <w:szCs w:val="22"/>
          </w:rPr>
          <w:t>https://ec.europa.eu/info/funding-tenders/how-eu-funding-works/information-contractors-and-beneficiaries/exchange-rate-inforeuro_fr</w:t>
        </w:r>
      </w:hyperlink>
      <w:r w:rsidRPr="001E3FF0">
        <w:rPr>
          <w:sz w:val="22"/>
          <w:szCs w:val="22"/>
        </w:rPr>
        <w:t>.</w:t>
      </w:r>
    </w:p>
    <w:sectPr w:rsidR="0051594A" w:rsidRPr="007F7F5A" w:rsidSect="00F37711">
      <w:headerReference w:type="default" r:id="rId8"/>
      <w:pgSz w:w="11906" w:h="16838"/>
      <w:pgMar w:top="1276" w:right="849" w:bottom="1135" w:left="1134"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4B21" w14:textId="77777777" w:rsidR="00ED7734" w:rsidRDefault="00ED7734" w:rsidP="001E3FF0">
      <w:pPr>
        <w:spacing w:before="0" w:after="0"/>
      </w:pPr>
      <w:r>
        <w:separator/>
      </w:r>
    </w:p>
  </w:endnote>
  <w:endnote w:type="continuationSeparator" w:id="0">
    <w:p w14:paraId="76F76549" w14:textId="77777777" w:rsidR="00ED7734" w:rsidRDefault="00ED7734" w:rsidP="001E3F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CAAD" w14:textId="77777777" w:rsidR="00ED7734" w:rsidRDefault="00ED7734" w:rsidP="001E3FF0">
      <w:pPr>
        <w:spacing w:before="0" w:after="0"/>
      </w:pPr>
      <w:r>
        <w:separator/>
      </w:r>
    </w:p>
  </w:footnote>
  <w:footnote w:type="continuationSeparator" w:id="0">
    <w:p w14:paraId="52DF6297" w14:textId="77777777" w:rsidR="00ED7734" w:rsidRDefault="00ED7734" w:rsidP="001E3F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6898" w14:textId="7BCBD067" w:rsidR="001E3FF0" w:rsidRDefault="001E3FF0">
    <w:pPr>
      <w:pStyle w:val="Header"/>
    </w:pPr>
    <w:r w:rsidRPr="00C1460A">
      <w:rPr>
        <w:i/>
        <w:iCs/>
        <w:noProof/>
        <w:lang w:eastAsia="fr-FR"/>
      </w:rPr>
      <w:drawing>
        <wp:anchor distT="0" distB="0" distL="114300" distR="114300" simplePos="0" relativeHeight="251659264" behindDoc="0" locked="0" layoutInCell="1" allowOverlap="1" wp14:anchorId="5506F37B" wp14:editId="050F488C">
          <wp:simplePos x="0" y="0"/>
          <wp:positionH relativeFrom="margin">
            <wp:align>left</wp:align>
          </wp:positionH>
          <wp:positionV relativeFrom="paragraph">
            <wp:posOffset>-259715</wp:posOffset>
          </wp:positionV>
          <wp:extent cx="1235710" cy="594995"/>
          <wp:effectExtent l="0" t="0" r="2540" b="0"/>
          <wp:wrapSquare wrapText="bothSides"/>
          <wp:docPr id="462899407" name="Image 462899407"/>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710" cy="5949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7ED8"/>
    <w:multiLevelType w:val="multilevel"/>
    <w:tmpl w:val="A7F61E9C"/>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3AA33F5C"/>
    <w:multiLevelType w:val="multilevel"/>
    <w:tmpl w:val="7250E81E"/>
    <w:lvl w:ilvl="0">
      <w:start w:val="3"/>
      <w:numFmt w:val="decimal"/>
      <w:lvlText w:val="%1"/>
      <w:lvlJc w:val="left"/>
      <w:pPr>
        <w:ind w:left="360" w:hanging="360"/>
      </w:pPr>
      <w:rPr>
        <w:rFonts w:hint="default"/>
      </w:rPr>
    </w:lvl>
    <w:lvl w:ilvl="1">
      <w:start w:val="1"/>
      <w:numFmt w:val="bullet"/>
      <w:lvlText w:val=""/>
      <w:lvlJc w:val="left"/>
      <w:pPr>
        <w:ind w:left="1429" w:hanging="360"/>
      </w:pPr>
      <w:rPr>
        <w:rFonts w:ascii="Wingdings" w:hAnsi="Wingding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BA97850"/>
    <w:multiLevelType w:val="hybridMultilevel"/>
    <w:tmpl w:val="BDEA75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2412DF"/>
    <w:multiLevelType w:val="hybridMultilevel"/>
    <w:tmpl w:val="F02EA4C6"/>
    <w:lvl w:ilvl="0" w:tplc="040C0009">
      <w:start w:val="1"/>
      <w:numFmt w:val="bullet"/>
      <w:lvlText w:val=""/>
      <w:lvlJc w:val="left"/>
      <w:pPr>
        <w:ind w:left="3266" w:hanging="360"/>
      </w:pPr>
      <w:rPr>
        <w:rFonts w:ascii="Wingdings" w:hAnsi="Wingdings" w:hint="default"/>
      </w:rPr>
    </w:lvl>
    <w:lvl w:ilvl="1" w:tplc="040C0003" w:tentative="1">
      <w:start w:val="1"/>
      <w:numFmt w:val="bullet"/>
      <w:lvlText w:val="o"/>
      <w:lvlJc w:val="left"/>
      <w:pPr>
        <w:ind w:left="3986" w:hanging="360"/>
      </w:pPr>
      <w:rPr>
        <w:rFonts w:ascii="Courier New" w:hAnsi="Courier New" w:cs="Courier New" w:hint="default"/>
      </w:rPr>
    </w:lvl>
    <w:lvl w:ilvl="2" w:tplc="040C0005" w:tentative="1">
      <w:start w:val="1"/>
      <w:numFmt w:val="bullet"/>
      <w:lvlText w:val=""/>
      <w:lvlJc w:val="left"/>
      <w:pPr>
        <w:ind w:left="4706" w:hanging="360"/>
      </w:pPr>
      <w:rPr>
        <w:rFonts w:ascii="Wingdings" w:hAnsi="Wingdings" w:hint="default"/>
      </w:rPr>
    </w:lvl>
    <w:lvl w:ilvl="3" w:tplc="040C0001" w:tentative="1">
      <w:start w:val="1"/>
      <w:numFmt w:val="bullet"/>
      <w:lvlText w:val=""/>
      <w:lvlJc w:val="left"/>
      <w:pPr>
        <w:ind w:left="5426" w:hanging="360"/>
      </w:pPr>
      <w:rPr>
        <w:rFonts w:ascii="Symbol" w:hAnsi="Symbol" w:hint="default"/>
      </w:rPr>
    </w:lvl>
    <w:lvl w:ilvl="4" w:tplc="040C0003" w:tentative="1">
      <w:start w:val="1"/>
      <w:numFmt w:val="bullet"/>
      <w:lvlText w:val="o"/>
      <w:lvlJc w:val="left"/>
      <w:pPr>
        <w:ind w:left="6146" w:hanging="360"/>
      </w:pPr>
      <w:rPr>
        <w:rFonts w:ascii="Courier New" w:hAnsi="Courier New" w:cs="Courier New" w:hint="default"/>
      </w:rPr>
    </w:lvl>
    <w:lvl w:ilvl="5" w:tplc="040C0005" w:tentative="1">
      <w:start w:val="1"/>
      <w:numFmt w:val="bullet"/>
      <w:lvlText w:val=""/>
      <w:lvlJc w:val="left"/>
      <w:pPr>
        <w:ind w:left="6866" w:hanging="360"/>
      </w:pPr>
      <w:rPr>
        <w:rFonts w:ascii="Wingdings" w:hAnsi="Wingdings" w:hint="default"/>
      </w:rPr>
    </w:lvl>
    <w:lvl w:ilvl="6" w:tplc="040C0001" w:tentative="1">
      <w:start w:val="1"/>
      <w:numFmt w:val="bullet"/>
      <w:lvlText w:val=""/>
      <w:lvlJc w:val="left"/>
      <w:pPr>
        <w:ind w:left="7586" w:hanging="360"/>
      </w:pPr>
      <w:rPr>
        <w:rFonts w:ascii="Symbol" w:hAnsi="Symbol" w:hint="default"/>
      </w:rPr>
    </w:lvl>
    <w:lvl w:ilvl="7" w:tplc="040C0003" w:tentative="1">
      <w:start w:val="1"/>
      <w:numFmt w:val="bullet"/>
      <w:lvlText w:val="o"/>
      <w:lvlJc w:val="left"/>
      <w:pPr>
        <w:ind w:left="8306" w:hanging="360"/>
      </w:pPr>
      <w:rPr>
        <w:rFonts w:ascii="Courier New" w:hAnsi="Courier New" w:cs="Courier New" w:hint="default"/>
      </w:rPr>
    </w:lvl>
    <w:lvl w:ilvl="8" w:tplc="040C0005" w:tentative="1">
      <w:start w:val="1"/>
      <w:numFmt w:val="bullet"/>
      <w:lvlText w:val=""/>
      <w:lvlJc w:val="left"/>
      <w:pPr>
        <w:ind w:left="9026" w:hanging="360"/>
      </w:pPr>
      <w:rPr>
        <w:rFonts w:ascii="Wingdings" w:hAnsi="Wingdings" w:hint="default"/>
      </w:rPr>
    </w:lvl>
  </w:abstractNum>
  <w:abstractNum w:abstractNumId="4" w15:restartNumberingAfterBreak="0">
    <w:nsid w:val="6D61043C"/>
    <w:multiLevelType w:val="hybridMultilevel"/>
    <w:tmpl w:val="31F869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721D82"/>
    <w:multiLevelType w:val="multilevel"/>
    <w:tmpl w:val="F0569448"/>
    <w:lvl w:ilvl="0">
      <w:start w:val="1"/>
      <w:numFmt w:val="decimal"/>
      <w:lvlText w:val="%1"/>
      <w:lvlJc w:val="left"/>
      <w:pPr>
        <w:ind w:left="360" w:hanging="360"/>
      </w:pPr>
      <w:rPr>
        <w:rFonts w:hint="default"/>
        <w:b/>
        <w:u w:val="none"/>
      </w:rPr>
    </w:lvl>
    <w:lvl w:ilvl="1">
      <w:start w:val="1"/>
      <w:numFmt w:val="bullet"/>
      <w:lvlText w:val=""/>
      <w:lvlJc w:val="left"/>
      <w:pPr>
        <w:ind w:left="1429" w:hanging="360"/>
      </w:pPr>
      <w:rPr>
        <w:rFonts w:ascii="Wingdings" w:hAnsi="Wingding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77791F26"/>
    <w:multiLevelType w:val="hybridMultilevel"/>
    <w:tmpl w:val="5830A2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0726444">
    <w:abstractNumId w:val="5"/>
  </w:num>
  <w:num w:numId="2" w16cid:durableId="1559170134">
    <w:abstractNumId w:val="0"/>
  </w:num>
  <w:num w:numId="3" w16cid:durableId="1902673112">
    <w:abstractNumId w:val="1"/>
  </w:num>
  <w:num w:numId="4" w16cid:durableId="1406806291">
    <w:abstractNumId w:val="4"/>
  </w:num>
  <w:num w:numId="5" w16cid:durableId="1970162804">
    <w:abstractNumId w:val="2"/>
  </w:num>
  <w:num w:numId="6" w16cid:durableId="705370666">
    <w:abstractNumId w:val="6"/>
  </w:num>
  <w:num w:numId="7" w16cid:durableId="689338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F0"/>
    <w:rsid w:val="000232BC"/>
    <w:rsid w:val="000512E1"/>
    <w:rsid w:val="00090B6D"/>
    <w:rsid w:val="000E1742"/>
    <w:rsid w:val="0011759E"/>
    <w:rsid w:val="001A34B1"/>
    <w:rsid w:val="001B0C07"/>
    <w:rsid w:val="001C68B5"/>
    <w:rsid w:val="001D202B"/>
    <w:rsid w:val="001D5C4E"/>
    <w:rsid w:val="001E3FF0"/>
    <w:rsid w:val="00240A4B"/>
    <w:rsid w:val="00252BCC"/>
    <w:rsid w:val="00261296"/>
    <w:rsid w:val="00365733"/>
    <w:rsid w:val="00395730"/>
    <w:rsid w:val="003A26A6"/>
    <w:rsid w:val="0051594A"/>
    <w:rsid w:val="005F2D55"/>
    <w:rsid w:val="00635608"/>
    <w:rsid w:val="006C46E0"/>
    <w:rsid w:val="007221BB"/>
    <w:rsid w:val="00766B00"/>
    <w:rsid w:val="007A0714"/>
    <w:rsid w:val="007F2EA9"/>
    <w:rsid w:val="007F7F5A"/>
    <w:rsid w:val="00822ECA"/>
    <w:rsid w:val="00854FDE"/>
    <w:rsid w:val="00880A6C"/>
    <w:rsid w:val="00892FCC"/>
    <w:rsid w:val="008F7CCE"/>
    <w:rsid w:val="009323BA"/>
    <w:rsid w:val="009C7E0A"/>
    <w:rsid w:val="00B3349F"/>
    <w:rsid w:val="00BA5B4E"/>
    <w:rsid w:val="00BE01A3"/>
    <w:rsid w:val="00C45354"/>
    <w:rsid w:val="00D60FDE"/>
    <w:rsid w:val="00ED7734"/>
    <w:rsid w:val="00F37711"/>
    <w:rsid w:val="00F63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7E17"/>
  <w15:chartTrackingRefBased/>
  <w15:docId w15:val="{C0B8C5FB-80A2-4187-AA18-B6DDC781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F0"/>
    <w:pPr>
      <w:spacing w:before="120" w:after="12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qFormat/>
    <w:rsid w:val="001E3FF0"/>
    <w:pPr>
      <w:keepNext/>
      <w:keepLines/>
      <w:spacing w:before="480" w:after="200"/>
      <w:jc w:val="center"/>
      <w:outlineLvl w:val="0"/>
    </w:pPr>
    <w:rPr>
      <w:rFonts w:eastAsiaTheme="majorEastAsia" w:cstheme="majorBidi"/>
      <w:b/>
      <w:color w:val="2F5496" w:themeColor="accent1" w:themeShade="BF"/>
      <w:sz w:val="28"/>
      <w:szCs w:val="40"/>
    </w:rPr>
  </w:style>
  <w:style w:type="paragraph" w:styleId="Heading2">
    <w:name w:val="heading 2"/>
    <w:basedOn w:val="Normal"/>
    <w:next w:val="Normal"/>
    <w:link w:val="Heading2Char"/>
    <w:unhideWhenUsed/>
    <w:qFormat/>
    <w:rsid w:val="001E3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34B1"/>
    <w:pPr>
      <w:keepNext/>
      <w:keepLines/>
      <w:spacing w:before="280" w:after="20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E3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FF0"/>
    <w:rPr>
      <w:rFonts w:ascii="Times New Roman" w:eastAsiaTheme="majorEastAsia" w:hAnsi="Times New Roman" w:cstheme="majorBidi"/>
      <w:b/>
      <w:snapToGrid w:val="0"/>
      <w:color w:val="2F5496" w:themeColor="accent1" w:themeShade="BF"/>
      <w:kern w:val="0"/>
      <w:sz w:val="28"/>
      <w:szCs w:val="40"/>
      <w14:ligatures w14:val="none"/>
    </w:rPr>
  </w:style>
  <w:style w:type="character" w:customStyle="1" w:styleId="Heading2Char">
    <w:name w:val="Heading 2 Char"/>
    <w:basedOn w:val="DefaultParagraphFont"/>
    <w:link w:val="Heading2"/>
    <w:rsid w:val="001E3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34B1"/>
    <w:rPr>
      <w:rFonts w:ascii="Times New Roman" w:eastAsiaTheme="majorEastAsia" w:hAnsi="Times New Roman" w:cstheme="majorBidi"/>
      <w:snapToGrid w:val="0"/>
      <w:color w:val="2F5496" w:themeColor="accent1" w:themeShade="BF"/>
      <w:kern w:val="0"/>
      <w:szCs w:val="28"/>
      <w14:ligatures w14:val="none"/>
    </w:rPr>
  </w:style>
  <w:style w:type="character" w:customStyle="1" w:styleId="Heading4Char">
    <w:name w:val="Heading 4 Char"/>
    <w:basedOn w:val="DefaultParagraphFont"/>
    <w:link w:val="Heading4"/>
    <w:uiPriority w:val="9"/>
    <w:semiHidden/>
    <w:rsid w:val="001E3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F0"/>
    <w:rPr>
      <w:rFonts w:eastAsiaTheme="majorEastAsia" w:cstheme="majorBidi"/>
      <w:color w:val="272727" w:themeColor="text1" w:themeTint="D8"/>
    </w:rPr>
  </w:style>
  <w:style w:type="paragraph" w:styleId="Title">
    <w:name w:val="Title"/>
    <w:basedOn w:val="Normal"/>
    <w:next w:val="Normal"/>
    <w:link w:val="TitleChar"/>
    <w:uiPriority w:val="10"/>
    <w:qFormat/>
    <w:rsid w:val="001E3F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F0"/>
    <w:pPr>
      <w:spacing w:before="160"/>
      <w:jc w:val="center"/>
    </w:pPr>
    <w:rPr>
      <w:i/>
      <w:iCs/>
      <w:color w:val="404040" w:themeColor="text1" w:themeTint="BF"/>
    </w:rPr>
  </w:style>
  <w:style w:type="character" w:customStyle="1" w:styleId="QuoteChar">
    <w:name w:val="Quote Char"/>
    <w:basedOn w:val="DefaultParagraphFont"/>
    <w:link w:val="Quote"/>
    <w:uiPriority w:val="29"/>
    <w:rsid w:val="001E3FF0"/>
    <w:rPr>
      <w:i/>
      <w:iCs/>
      <w:color w:val="404040" w:themeColor="text1" w:themeTint="BF"/>
    </w:rPr>
  </w:style>
  <w:style w:type="paragraph" w:styleId="ListParagraph">
    <w:name w:val="List Paragraph"/>
    <w:aliases w:val="Citation List,본문(내용),List Paragraph (numbered (a)),Colorful List - Accent 11,Colorful List - Accent 11CxSpLast,References,Numbered List Paragraph,Bullets,List Bullet Mary,Liste 1,ReferencesCxSpLast,List Paragraph1,List Paragraph nowy"/>
    <w:basedOn w:val="Normal"/>
    <w:link w:val="ListParagraphChar"/>
    <w:uiPriority w:val="34"/>
    <w:qFormat/>
    <w:rsid w:val="001E3FF0"/>
    <w:pPr>
      <w:ind w:left="720"/>
      <w:contextualSpacing/>
    </w:pPr>
  </w:style>
  <w:style w:type="character" w:styleId="IntenseEmphasis">
    <w:name w:val="Intense Emphasis"/>
    <w:basedOn w:val="DefaultParagraphFont"/>
    <w:uiPriority w:val="21"/>
    <w:qFormat/>
    <w:rsid w:val="001E3FF0"/>
    <w:rPr>
      <w:i/>
      <w:iCs/>
      <w:color w:val="2F5496" w:themeColor="accent1" w:themeShade="BF"/>
    </w:rPr>
  </w:style>
  <w:style w:type="paragraph" w:styleId="IntenseQuote">
    <w:name w:val="Intense Quote"/>
    <w:basedOn w:val="Normal"/>
    <w:next w:val="Normal"/>
    <w:link w:val="IntenseQuoteChar"/>
    <w:uiPriority w:val="30"/>
    <w:qFormat/>
    <w:rsid w:val="001E3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FF0"/>
    <w:rPr>
      <w:i/>
      <w:iCs/>
      <w:color w:val="2F5496" w:themeColor="accent1" w:themeShade="BF"/>
    </w:rPr>
  </w:style>
  <w:style w:type="character" w:styleId="IntenseReference">
    <w:name w:val="Intense Reference"/>
    <w:basedOn w:val="DefaultParagraphFont"/>
    <w:uiPriority w:val="32"/>
    <w:qFormat/>
    <w:rsid w:val="001E3FF0"/>
    <w:rPr>
      <w:b/>
      <w:bCs/>
      <w:smallCaps/>
      <w:color w:val="2F5496" w:themeColor="accent1" w:themeShade="BF"/>
      <w:spacing w:val="5"/>
    </w:rPr>
  </w:style>
  <w:style w:type="character" w:styleId="Hyperlink">
    <w:name w:val="Hyperlink"/>
    <w:uiPriority w:val="99"/>
    <w:rsid w:val="001E3FF0"/>
    <w:rPr>
      <w:color w:val="0000FF"/>
      <w:u w:val="single"/>
    </w:rPr>
  </w:style>
  <w:style w:type="character" w:styleId="Strong">
    <w:name w:val="Strong"/>
    <w:qFormat/>
    <w:rsid w:val="001E3FF0"/>
    <w:rPr>
      <w:rFonts w:ascii="Times New Roman" w:hAnsi="Times New Roman"/>
      <w:b/>
      <w:sz w:val="22"/>
    </w:rPr>
  </w:style>
  <w:style w:type="paragraph" w:customStyle="1" w:styleId="Blockquote">
    <w:name w:val="Blockquote"/>
    <w:basedOn w:val="Normal"/>
    <w:rsid w:val="001E3FF0"/>
    <w:pPr>
      <w:widowControl w:val="0"/>
      <w:spacing w:before="100" w:after="100"/>
      <w:ind w:left="360" w:right="360"/>
    </w:pPr>
    <w:rPr>
      <w:sz w:val="24"/>
    </w:rPr>
  </w:style>
  <w:style w:type="character" w:styleId="Emphasis">
    <w:name w:val="Emphasis"/>
    <w:uiPriority w:val="20"/>
    <w:qFormat/>
    <w:rsid w:val="001E3FF0"/>
    <w:rPr>
      <w:i/>
    </w:rPr>
  </w:style>
  <w:style w:type="character" w:customStyle="1" w:styleId="ListParagraphChar">
    <w:name w:val="List Paragraph Char"/>
    <w:aliases w:val="Citation List Char,본문(내용) Char,List Paragraph (numbered (a)) Char,Colorful List - Accent 11 Char,Colorful List - Accent 11CxSpLast Char,References Char,Numbered List Paragraph Char,Bullets Char,List Bullet Mary Char,Liste 1 Char"/>
    <w:basedOn w:val="DefaultParagraphFont"/>
    <w:link w:val="ListParagraph"/>
    <w:uiPriority w:val="34"/>
    <w:qFormat/>
    <w:locked/>
    <w:rsid w:val="001E3FF0"/>
  </w:style>
  <w:style w:type="paragraph" w:styleId="Header">
    <w:name w:val="header"/>
    <w:basedOn w:val="Normal"/>
    <w:link w:val="HeaderChar"/>
    <w:uiPriority w:val="99"/>
    <w:unhideWhenUsed/>
    <w:rsid w:val="001E3FF0"/>
    <w:pPr>
      <w:tabs>
        <w:tab w:val="center" w:pos="4536"/>
        <w:tab w:val="right" w:pos="9072"/>
      </w:tabs>
      <w:spacing w:before="0" w:after="0"/>
    </w:pPr>
  </w:style>
  <w:style w:type="character" w:customStyle="1" w:styleId="HeaderChar">
    <w:name w:val="Header Char"/>
    <w:basedOn w:val="DefaultParagraphFont"/>
    <w:link w:val="Header"/>
    <w:uiPriority w:val="99"/>
    <w:rsid w:val="001E3FF0"/>
    <w:rPr>
      <w:rFonts w:ascii="Times New Roman" w:eastAsia="Times New Roman" w:hAnsi="Times New Roman" w:cs="Times New Roman"/>
      <w:snapToGrid w:val="0"/>
      <w:kern w:val="0"/>
      <w:szCs w:val="20"/>
      <w14:ligatures w14:val="none"/>
    </w:rPr>
  </w:style>
  <w:style w:type="paragraph" w:styleId="Footer">
    <w:name w:val="footer"/>
    <w:basedOn w:val="Normal"/>
    <w:link w:val="FooterChar"/>
    <w:uiPriority w:val="99"/>
    <w:unhideWhenUsed/>
    <w:rsid w:val="001E3FF0"/>
    <w:pPr>
      <w:tabs>
        <w:tab w:val="center" w:pos="4536"/>
        <w:tab w:val="right" w:pos="9072"/>
      </w:tabs>
      <w:spacing w:before="0" w:after="0"/>
    </w:pPr>
  </w:style>
  <w:style w:type="character" w:customStyle="1" w:styleId="FooterChar">
    <w:name w:val="Footer Char"/>
    <w:basedOn w:val="DefaultParagraphFont"/>
    <w:link w:val="Footer"/>
    <w:uiPriority w:val="99"/>
    <w:rsid w:val="001E3FF0"/>
    <w:rPr>
      <w:rFonts w:ascii="Times New Roman" w:eastAsia="Times New Roman" w:hAnsi="Times New Roman" w:cs="Times New Roman"/>
      <w:snapToGrid w:val="0"/>
      <w:kern w:val="0"/>
      <w:szCs w:val="20"/>
      <w14:ligatures w14:val="none"/>
    </w:rPr>
  </w:style>
  <w:style w:type="character" w:styleId="UnresolvedMention">
    <w:name w:val="Unresolved Mention"/>
    <w:basedOn w:val="DefaultParagraphFont"/>
    <w:uiPriority w:val="99"/>
    <w:semiHidden/>
    <w:unhideWhenUsed/>
    <w:rsid w:val="00F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info/funding-tenders/how-eu-funding-works/information-contractors-and-beneficiaries/exchange-rate-inforeuro_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6832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Louange</dc:creator>
  <cp:keywords/>
  <dc:description/>
  <cp:lastModifiedBy>HP</cp:lastModifiedBy>
  <cp:revision>4</cp:revision>
  <dcterms:created xsi:type="dcterms:W3CDTF">2026-04-22T13:47:00Z</dcterms:created>
  <dcterms:modified xsi:type="dcterms:W3CDTF">2026-04-24T16:39:00Z</dcterms:modified>
</cp:coreProperties>
</file>