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5F4D" w14:textId="26727D28" w:rsidR="00303C1B" w:rsidRPr="006C1F9F" w:rsidRDefault="00BA4FE2" w:rsidP="00303C1B">
      <w:pPr>
        <w:keepNext/>
        <w:keepLines/>
        <w:spacing w:before="240" w:after="0" w:line="240" w:lineRule="auto"/>
        <w:jc w:val="both"/>
        <w:outlineLvl w:val="0"/>
        <w:rPr>
          <w:rFonts w:ascii="Rockwell" w:hAnsi="Rockwell"/>
          <w:b/>
          <w:iCs/>
        </w:rPr>
      </w:pPr>
      <w:bookmarkStart w:id="0" w:name="_Toc47629205"/>
      <w:r w:rsidRPr="006C1F9F">
        <w:rPr>
          <w:rFonts w:ascii="Rockwell" w:eastAsiaTheme="majorEastAsia" w:hAnsi="Rockwell" w:cs="Arial"/>
          <w:b/>
          <w:bCs/>
          <w:color w:val="000000"/>
          <w:kern w:val="0"/>
          <w14:ligatures w14:val="none"/>
        </w:rPr>
        <w:t>AVIS</w:t>
      </w:r>
      <w:r w:rsidRPr="006C1F9F">
        <w:rPr>
          <w:rFonts w:ascii="Rockwell" w:hAnsi="Rockwell"/>
          <w:b/>
          <w:bCs/>
        </w:rPr>
        <w:t xml:space="preserve"> D’APPEL D’OFFRES</w:t>
      </w:r>
      <w:bookmarkEnd w:id="0"/>
      <w:r w:rsidRPr="006C1F9F">
        <w:rPr>
          <w:rFonts w:ascii="Rockwell" w:hAnsi="Rockwell"/>
          <w:b/>
          <w:bCs/>
        </w:rPr>
        <w:t xml:space="preserve"> OUVERT INTERNATIONAL N° </w:t>
      </w:r>
      <w:r w:rsidRPr="006C1F9F">
        <w:rPr>
          <w:rFonts w:ascii="Rockwell" w:hAnsi="Rockwell"/>
          <w:b/>
          <w:iCs/>
        </w:rPr>
        <w:t xml:space="preserve">DNCMP/ </w:t>
      </w:r>
      <w:r>
        <w:rPr>
          <w:rFonts w:ascii="Rockwell" w:hAnsi="Rockwell"/>
          <w:b/>
          <w:iCs/>
        </w:rPr>
        <w:t>616</w:t>
      </w:r>
      <w:r w:rsidRPr="006C1F9F">
        <w:rPr>
          <w:rFonts w:ascii="Rockwell" w:hAnsi="Rockwell"/>
          <w:b/>
          <w:iCs/>
        </w:rPr>
        <w:t>/F/2025-2026 DE FOURNITURE DES KITS D’ACCOMPAGNEMENT DES BOVINS</w:t>
      </w:r>
      <w:r>
        <w:rPr>
          <w:rFonts w:ascii="Rockwell" w:hAnsi="Rockwell"/>
          <w:b/>
          <w:iCs/>
        </w:rPr>
        <w:t>.</w:t>
      </w:r>
      <w:r w:rsidRPr="006C1F9F">
        <w:rPr>
          <w:rFonts w:ascii="Rockwell" w:hAnsi="Rockwell"/>
          <w:b/>
          <w:iCs/>
        </w:rPr>
        <w:t xml:space="preserve"> </w:t>
      </w:r>
    </w:p>
    <w:p w14:paraId="03F5D8BB" w14:textId="77777777" w:rsidR="00303C1B" w:rsidRPr="006C1F9F" w:rsidRDefault="00303C1B" w:rsidP="00303C1B">
      <w:pPr>
        <w:keepNext/>
        <w:keepLines/>
        <w:spacing w:before="240" w:after="0" w:line="240" w:lineRule="auto"/>
        <w:outlineLvl w:val="0"/>
        <w:rPr>
          <w:rFonts w:ascii="Rockwell" w:eastAsia="Times New Roman" w:hAnsi="Rockwell"/>
          <w:b/>
          <w:kern w:val="0"/>
          <w14:ligatures w14:val="none"/>
        </w:rPr>
      </w:pPr>
    </w:p>
    <w:p w14:paraId="0988238D" w14:textId="64C8ACD4" w:rsidR="00303C1B" w:rsidRPr="006C1F9F" w:rsidRDefault="00303C1B" w:rsidP="00303C1B">
      <w:pPr>
        <w:pStyle w:val="ListParagraph"/>
        <w:numPr>
          <w:ilvl w:val="0"/>
          <w:numId w:val="1"/>
        </w:numPr>
        <w:spacing w:after="0" w:line="240" w:lineRule="auto"/>
        <w:contextualSpacing w:val="0"/>
        <w:jc w:val="both"/>
        <w:rPr>
          <w:rFonts w:ascii="Rockwell" w:hAnsi="Rockwell"/>
          <w:b/>
          <w:lang w:eastAsia="fr-FR"/>
        </w:rPr>
      </w:pPr>
      <w:r w:rsidRPr="006C1F9F">
        <w:rPr>
          <w:rFonts w:ascii="Rockwell" w:hAnsi="Rockwell"/>
          <w:b/>
          <w:lang w:eastAsia="fr-FR"/>
        </w:rPr>
        <w:t>Date de publication</w:t>
      </w:r>
      <w:r w:rsidRPr="006C1F9F">
        <w:rPr>
          <w:rFonts w:ascii="Rockwell" w:hAnsi="Rockwell"/>
          <w:b/>
          <w:lang w:eastAsia="fr-FR"/>
        </w:rPr>
        <w:tab/>
      </w:r>
      <w:r w:rsidRPr="006C1F9F">
        <w:rPr>
          <w:rFonts w:ascii="Rockwell" w:hAnsi="Rockwell"/>
          <w:b/>
          <w:lang w:eastAsia="fr-FR"/>
        </w:rPr>
        <w:tab/>
        <w:t xml:space="preserve">            </w:t>
      </w:r>
      <w:r w:rsidR="00065AFC">
        <w:rPr>
          <w:rFonts w:ascii="Rockwell" w:hAnsi="Rockwell"/>
          <w:b/>
          <w:lang w:eastAsia="fr-FR"/>
        </w:rPr>
        <w:tab/>
      </w:r>
      <w:r w:rsidR="00BA4FE2">
        <w:rPr>
          <w:rFonts w:ascii="Rockwell" w:hAnsi="Rockwell"/>
          <w:b/>
          <w:lang w:eastAsia="fr-FR"/>
        </w:rPr>
        <w:t xml:space="preserve">          </w:t>
      </w:r>
      <w:r w:rsidRPr="006C1F9F">
        <w:rPr>
          <w:rFonts w:ascii="Rockwell" w:hAnsi="Rockwell"/>
          <w:b/>
          <w:lang w:eastAsia="fr-FR"/>
        </w:rPr>
        <w:t xml:space="preserve"> : </w:t>
      </w:r>
      <w:r w:rsidR="00BA4FE2">
        <w:rPr>
          <w:rFonts w:ascii="Rockwell" w:hAnsi="Rockwell"/>
          <w:b/>
          <w:lang w:eastAsia="fr-FR"/>
        </w:rPr>
        <w:t>05</w:t>
      </w:r>
      <w:r w:rsidRPr="006C1F9F">
        <w:rPr>
          <w:rFonts w:ascii="Rockwell" w:hAnsi="Rockwell"/>
          <w:b/>
          <w:lang w:eastAsia="fr-FR"/>
        </w:rPr>
        <w:t>/</w:t>
      </w:r>
      <w:r w:rsidR="00BA4FE2">
        <w:rPr>
          <w:rFonts w:ascii="Rockwell" w:hAnsi="Rockwell"/>
          <w:b/>
          <w:lang w:eastAsia="fr-FR"/>
        </w:rPr>
        <w:t>06</w:t>
      </w:r>
      <w:r w:rsidRPr="006C1F9F">
        <w:rPr>
          <w:rFonts w:ascii="Rockwell" w:hAnsi="Rockwell"/>
          <w:b/>
          <w:lang w:eastAsia="fr-FR"/>
        </w:rPr>
        <w:t>/2026</w:t>
      </w:r>
    </w:p>
    <w:p w14:paraId="46C892BE" w14:textId="77777777" w:rsidR="00303C1B" w:rsidRPr="006C1F9F" w:rsidRDefault="00303C1B" w:rsidP="00303C1B">
      <w:pPr>
        <w:spacing w:after="0" w:line="240" w:lineRule="auto"/>
        <w:jc w:val="both"/>
        <w:rPr>
          <w:rFonts w:ascii="Rockwell" w:hAnsi="Rockwell"/>
          <w:b/>
          <w:lang w:eastAsia="fr-FR"/>
        </w:rPr>
      </w:pPr>
    </w:p>
    <w:p w14:paraId="17B2578C" w14:textId="0264B968" w:rsidR="00303C1B" w:rsidRPr="006C1F9F" w:rsidRDefault="00303C1B" w:rsidP="00303C1B">
      <w:pPr>
        <w:pStyle w:val="ListParagraph"/>
        <w:numPr>
          <w:ilvl w:val="0"/>
          <w:numId w:val="1"/>
        </w:numPr>
        <w:spacing w:after="0" w:line="240" w:lineRule="auto"/>
        <w:contextualSpacing w:val="0"/>
        <w:jc w:val="both"/>
        <w:rPr>
          <w:rFonts w:ascii="Rockwell" w:hAnsi="Rockwell"/>
          <w:b/>
          <w:lang w:eastAsia="fr-FR"/>
        </w:rPr>
      </w:pPr>
      <w:r w:rsidRPr="006C1F9F">
        <w:rPr>
          <w:rFonts w:ascii="Rockwell" w:hAnsi="Rockwell"/>
          <w:b/>
          <w:lang w:eastAsia="fr-FR"/>
        </w:rPr>
        <w:t>Date d’ouverture des offres </w:t>
      </w:r>
      <w:r w:rsidRPr="006C1F9F">
        <w:rPr>
          <w:rFonts w:ascii="Rockwell" w:hAnsi="Rockwell"/>
          <w:b/>
          <w:lang w:eastAsia="fr-FR"/>
        </w:rPr>
        <w:tab/>
        <w:t xml:space="preserve">             : </w:t>
      </w:r>
      <w:r w:rsidR="00BA4FE2">
        <w:rPr>
          <w:rFonts w:ascii="Rockwell" w:hAnsi="Rockwell"/>
          <w:b/>
          <w:lang w:eastAsia="fr-FR"/>
        </w:rPr>
        <w:t>20</w:t>
      </w:r>
      <w:r w:rsidRPr="006C1F9F">
        <w:rPr>
          <w:rFonts w:ascii="Rockwell" w:hAnsi="Rockwell"/>
          <w:b/>
          <w:lang w:eastAsia="fr-FR"/>
        </w:rPr>
        <w:t>/</w:t>
      </w:r>
      <w:r w:rsidR="00BA4FE2">
        <w:rPr>
          <w:rFonts w:ascii="Rockwell" w:hAnsi="Rockwell"/>
          <w:b/>
          <w:lang w:eastAsia="fr-FR"/>
        </w:rPr>
        <w:t>07</w:t>
      </w:r>
      <w:r w:rsidRPr="006C1F9F">
        <w:rPr>
          <w:rFonts w:ascii="Rockwell" w:hAnsi="Rockwell"/>
          <w:b/>
          <w:lang w:eastAsia="fr-FR"/>
        </w:rPr>
        <w:t>/2026</w:t>
      </w:r>
    </w:p>
    <w:p w14:paraId="2FD54524" w14:textId="77777777" w:rsidR="00303C1B" w:rsidRPr="006C1F9F" w:rsidRDefault="00303C1B" w:rsidP="00303C1B">
      <w:pPr>
        <w:spacing w:line="240" w:lineRule="auto"/>
        <w:jc w:val="both"/>
        <w:rPr>
          <w:rFonts w:ascii="Rockwell" w:eastAsia="Times New Roman" w:hAnsi="Rockwell" w:cs="Arial"/>
          <w:b/>
          <w:iCs/>
          <w:kern w:val="0"/>
          <w14:ligatures w14:val="none"/>
        </w:rPr>
      </w:pPr>
    </w:p>
    <w:p w14:paraId="23CA4129" w14:textId="77777777" w:rsidR="00303C1B" w:rsidRPr="006C1F9F" w:rsidRDefault="00303C1B" w:rsidP="00303C1B">
      <w:pPr>
        <w:numPr>
          <w:ilvl w:val="0"/>
          <w:numId w:val="2"/>
        </w:numPr>
        <w:spacing w:after="0" w:line="240" w:lineRule="auto"/>
        <w:jc w:val="both"/>
        <w:rPr>
          <w:rFonts w:ascii="Rockwell" w:hAnsi="Rockwell"/>
        </w:rPr>
      </w:pPr>
      <w:r w:rsidRPr="006C1F9F">
        <w:rPr>
          <w:rFonts w:ascii="Rockwell" w:hAnsi="Rockwell"/>
        </w:rPr>
        <w:t>Le Gouvernement du Burundi a obtenu</w:t>
      </w:r>
      <w:r w:rsidRPr="006C1F9F">
        <w:rPr>
          <w:rFonts w:ascii="Rockwell" w:hAnsi="Rockwell"/>
          <w:i/>
          <w:iCs/>
        </w:rPr>
        <w:t xml:space="preserve"> </w:t>
      </w:r>
      <w:r w:rsidRPr="006C1F9F">
        <w:rPr>
          <w:rFonts w:ascii="Rockwell" w:hAnsi="Rockwell"/>
        </w:rPr>
        <w:t xml:space="preserve">un financement du Fonds International de Développement Agricole (FIDA) destiné à couvrir le coût du </w:t>
      </w:r>
      <w:r w:rsidRPr="006C1F9F">
        <w:rPr>
          <w:rFonts w:ascii="Rockwell" w:eastAsia="Arial Unicode MS" w:hAnsi="Rockwell"/>
          <w:bCs/>
        </w:rPr>
        <w:t>Programme de Développement de l’Entrepreneuriat Rural « PRODER »</w:t>
      </w:r>
      <w:r w:rsidRPr="006C1F9F">
        <w:rPr>
          <w:rFonts w:ascii="Rockwell" w:hAnsi="Rockwell"/>
        </w:rPr>
        <w:t xml:space="preserve">, et envisage d’en faire partiellement usage pour la </w:t>
      </w:r>
      <w:r w:rsidRPr="006C1F9F">
        <w:rPr>
          <w:rFonts w:ascii="Rockwell" w:hAnsi="Rockwell"/>
          <w:b/>
          <w:bCs/>
        </w:rPr>
        <w:t xml:space="preserve">fourniture </w:t>
      </w:r>
      <w:r w:rsidRPr="006C1F9F">
        <w:rPr>
          <w:rFonts w:ascii="Rockwell" w:hAnsi="Rockwell"/>
          <w:b/>
          <w:bCs/>
          <w:iCs/>
        </w:rPr>
        <w:t>d</w:t>
      </w:r>
      <w:r w:rsidRPr="006C1F9F">
        <w:rPr>
          <w:rFonts w:ascii="Rockwell" w:hAnsi="Rockwell"/>
          <w:b/>
          <w:iCs/>
        </w:rPr>
        <w:t>es kits d’accompagnement des bovins</w:t>
      </w:r>
      <w:r w:rsidRPr="006C1F9F">
        <w:rPr>
          <w:rFonts w:ascii="Rockwell" w:hAnsi="Rockwell"/>
        </w:rPr>
        <w:t>. L’utilisation de fonds du FIDA est soumise à l’approbation de ce dernier, selon les modalités et conditions que prévoit l’accord de financement et conformément aux règles, politiques et procédures du FIDA. Le FIDA et ses représentants, mandataires et fonctionnaires sont dégagés de toute responsabilité concernant les actions en justice, procédures, réclamations, demandes, pertes et obligations en tout genre et de toute nature qu’une quelconque partie invoquerait dans le cadre du PRODER.</w:t>
      </w:r>
    </w:p>
    <w:p w14:paraId="21327586" w14:textId="77777777" w:rsidR="00303C1B" w:rsidRPr="006C1F9F" w:rsidRDefault="00303C1B" w:rsidP="00303C1B">
      <w:pPr>
        <w:spacing w:after="0" w:line="240" w:lineRule="auto"/>
        <w:ind w:left="720"/>
        <w:jc w:val="both"/>
        <w:rPr>
          <w:rFonts w:ascii="Rockwell" w:hAnsi="Rockwell"/>
        </w:rPr>
      </w:pPr>
    </w:p>
    <w:p w14:paraId="27D34EED" w14:textId="77777777" w:rsidR="00303C1B" w:rsidRPr="006C1F9F" w:rsidRDefault="00303C1B" w:rsidP="00303C1B">
      <w:pPr>
        <w:numPr>
          <w:ilvl w:val="0"/>
          <w:numId w:val="2"/>
        </w:numPr>
        <w:spacing w:after="0" w:line="240" w:lineRule="auto"/>
        <w:jc w:val="both"/>
        <w:rPr>
          <w:rFonts w:ascii="Rockwell" w:hAnsi="Rockwell"/>
        </w:rPr>
      </w:pPr>
      <w:r w:rsidRPr="006C1F9F">
        <w:rPr>
          <w:rFonts w:ascii="Rockwell" w:hAnsi="Rockwell"/>
        </w:rPr>
        <w:t>L</w:t>
      </w:r>
      <w:r w:rsidRPr="006C1F9F">
        <w:rPr>
          <w:rFonts w:ascii="Rockwell" w:hAnsi="Rockwell"/>
          <w:lang w:val="fr-CD"/>
        </w:rPr>
        <w:t>’Accord de financement du PRODER a été signé à Bujumbura, le 27 avril 2022, pour un montant</w:t>
      </w:r>
      <w:r w:rsidRPr="006C1F9F">
        <w:rPr>
          <w:rFonts w:ascii="Rockwell" w:hAnsi="Rockwell"/>
        </w:rPr>
        <w:t xml:space="preserve"> de 89,40 millions USD et comprend : (i) un financement FIDA de 53,654 millions USD (60%), dont 80% en don (Don n°2000004134) et 20% en prêt (Prêt n°2000004133) ; (ii) un financement additionnel du FIDA (don n°2000004907)  de USD 25 millions (28%), qui a été approuvé en décembre 2023 ; (iii) la contribution du Gouvernement pour USD 7,065 millions (7,9%), sous forme de taxes et droits de douanes et certains coûts de gestion de PRODER ; (vi) une contribution des bénéficiaires à hauteur de USD 3,679 millions. </w:t>
      </w:r>
    </w:p>
    <w:p w14:paraId="7087AB3E" w14:textId="77777777" w:rsidR="00303C1B" w:rsidRPr="006C1F9F" w:rsidRDefault="00303C1B" w:rsidP="00303C1B">
      <w:pPr>
        <w:spacing w:after="0" w:line="240" w:lineRule="auto"/>
        <w:ind w:left="360"/>
        <w:jc w:val="both"/>
        <w:rPr>
          <w:rFonts w:ascii="Rockwell" w:hAnsi="Rockwell"/>
        </w:rPr>
      </w:pPr>
    </w:p>
    <w:p w14:paraId="1FC15EDD" w14:textId="77777777" w:rsidR="00303C1B" w:rsidRPr="006C1F9F" w:rsidRDefault="00303C1B" w:rsidP="00303C1B">
      <w:pPr>
        <w:ind w:left="720"/>
        <w:jc w:val="both"/>
        <w:rPr>
          <w:rFonts w:ascii="Rockwell" w:hAnsi="Rockwell"/>
        </w:rPr>
      </w:pPr>
      <w:r w:rsidRPr="006C1F9F">
        <w:rPr>
          <w:rFonts w:ascii="Rockwell" w:hAnsi="Rockwell"/>
        </w:rPr>
        <w:t xml:space="preserve">Le </w:t>
      </w:r>
      <w:r w:rsidRPr="006C1F9F">
        <w:rPr>
          <w:rFonts w:ascii="Rockwell" w:hAnsi="Rockwell"/>
          <w:bCs/>
        </w:rPr>
        <w:t xml:space="preserve">but </w:t>
      </w:r>
      <w:r w:rsidRPr="006C1F9F">
        <w:rPr>
          <w:rFonts w:ascii="Rockwell" w:hAnsi="Rockwell"/>
        </w:rPr>
        <w:t xml:space="preserve">du PRODER est de contribuer à la réduction de la pauvreté, l’amélioration de la nutrition et de la sécurité alimentaire des communautés rurales par la promotion de l’entrepreneuriat des jeunes et des entreprises agropastorales. Le PRODER s’inscrit dans la droite ligne du Gouvernement de transformer en entrepreneurs les agri-éleveurs en général et les jeunes du milieu rural en particulier. </w:t>
      </w:r>
    </w:p>
    <w:p w14:paraId="58610925" w14:textId="77777777" w:rsidR="00303C1B" w:rsidRPr="006C1F9F" w:rsidRDefault="00303C1B" w:rsidP="00303C1B">
      <w:pPr>
        <w:ind w:left="720"/>
        <w:jc w:val="both"/>
        <w:rPr>
          <w:rFonts w:ascii="Rockwell" w:hAnsi="Rockwell"/>
        </w:rPr>
      </w:pPr>
      <w:r w:rsidRPr="006C1F9F">
        <w:rPr>
          <w:rFonts w:ascii="Rockwell" w:hAnsi="Rockwell"/>
          <w:lang w:val="fr-BE"/>
        </w:rPr>
        <w:t>Le programme est structuré en trois (3) composantes</w:t>
      </w:r>
      <w:r w:rsidRPr="006C1F9F">
        <w:rPr>
          <w:rFonts w:ascii="Rockwell" w:hAnsi="Rockwell"/>
          <w:bCs/>
          <w:lang w:val="fr-BE"/>
        </w:rPr>
        <w:t xml:space="preserve"> : </w:t>
      </w:r>
    </w:p>
    <w:p w14:paraId="1DA8A783" w14:textId="77777777" w:rsidR="00303C1B" w:rsidRPr="006C1F9F" w:rsidRDefault="00303C1B" w:rsidP="00303C1B">
      <w:pPr>
        <w:numPr>
          <w:ilvl w:val="0"/>
          <w:numId w:val="3"/>
        </w:numPr>
        <w:spacing w:after="0" w:line="240" w:lineRule="auto"/>
        <w:ind w:right="14"/>
        <w:jc w:val="both"/>
        <w:rPr>
          <w:rFonts w:ascii="Rockwell" w:hAnsi="Rockwell"/>
        </w:rPr>
      </w:pPr>
      <w:r w:rsidRPr="006C1F9F">
        <w:rPr>
          <w:rFonts w:ascii="Rockwell" w:hAnsi="Rockwell"/>
          <w:b/>
          <w:bCs/>
        </w:rPr>
        <w:t>la Composante 1</w:t>
      </w:r>
      <w:r w:rsidRPr="006C1F9F">
        <w:rPr>
          <w:rFonts w:ascii="Rockwell" w:hAnsi="Rockwell"/>
          <w:bCs/>
        </w:rPr>
        <w:t> : D</w:t>
      </w:r>
      <w:r w:rsidRPr="006C1F9F">
        <w:rPr>
          <w:rFonts w:ascii="Rockwell" w:eastAsia="Verdana" w:hAnsi="Rockwell"/>
        </w:rPr>
        <w:t xml:space="preserve">éveloppement inclusif des entreprises des jeunes ruraux, dont la promotion de l’entrepreneuriat des jeunes et femmes ; </w:t>
      </w:r>
    </w:p>
    <w:p w14:paraId="6A2F029C" w14:textId="77777777" w:rsidR="00303C1B" w:rsidRPr="006C1F9F" w:rsidRDefault="00303C1B" w:rsidP="00303C1B">
      <w:pPr>
        <w:numPr>
          <w:ilvl w:val="0"/>
          <w:numId w:val="3"/>
        </w:numPr>
        <w:spacing w:after="0" w:line="240" w:lineRule="auto"/>
        <w:ind w:right="14"/>
        <w:jc w:val="both"/>
        <w:rPr>
          <w:rFonts w:ascii="Rockwell" w:hAnsi="Rockwell"/>
        </w:rPr>
      </w:pPr>
      <w:r w:rsidRPr="006C1F9F">
        <w:rPr>
          <w:rFonts w:ascii="Rockwell" w:eastAsia="Verdana" w:hAnsi="Rockwell"/>
          <w:b/>
        </w:rPr>
        <w:t xml:space="preserve">la Composante </w:t>
      </w:r>
      <w:r w:rsidRPr="006C1F9F">
        <w:rPr>
          <w:rFonts w:ascii="Rockwell" w:hAnsi="Rockwell"/>
          <w:b/>
          <w:bCs/>
        </w:rPr>
        <w:t>2</w:t>
      </w:r>
      <w:r w:rsidRPr="006C1F9F">
        <w:rPr>
          <w:rFonts w:ascii="Rockwell" w:hAnsi="Rockwell"/>
          <w:bCs/>
        </w:rPr>
        <w:t> : P</w:t>
      </w:r>
      <w:r w:rsidRPr="006C1F9F">
        <w:rPr>
          <w:rFonts w:ascii="Rockwell" w:eastAsia="Verdana" w:hAnsi="Rockwell"/>
        </w:rPr>
        <w:t>romotion d’un environnement favorable au développement des entreprises agropastorales, comprenant l’amélioration de l’accès à la terre et aux actifs pour l’entrepreneuriat agricole et le développement des infrastructures de production et d’accès au marché ;</w:t>
      </w:r>
    </w:p>
    <w:p w14:paraId="28841974" w14:textId="77777777" w:rsidR="00303C1B" w:rsidRPr="006C1F9F" w:rsidRDefault="00303C1B" w:rsidP="00303C1B">
      <w:pPr>
        <w:numPr>
          <w:ilvl w:val="0"/>
          <w:numId w:val="3"/>
        </w:numPr>
        <w:spacing w:after="0" w:line="240" w:lineRule="auto"/>
        <w:ind w:right="14"/>
        <w:jc w:val="both"/>
        <w:rPr>
          <w:rFonts w:ascii="Rockwell" w:hAnsi="Rockwell"/>
        </w:rPr>
      </w:pPr>
      <w:r w:rsidRPr="006C1F9F">
        <w:rPr>
          <w:rFonts w:ascii="Rockwell" w:eastAsia="Verdana" w:hAnsi="Rockwell"/>
          <w:b/>
        </w:rPr>
        <w:t>la Composante 3</w:t>
      </w:r>
      <w:r w:rsidRPr="006C1F9F">
        <w:rPr>
          <w:rFonts w:ascii="Rockwell" w:eastAsia="Verdana" w:hAnsi="Rockwell"/>
        </w:rPr>
        <w:t> : Renforcement Institutionnel et Gestion du Programme.</w:t>
      </w:r>
    </w:p>
    <w:p w14:paraId="6ED13780" w14:textId="77777777" w:rsidR="00303C1B" w:rsidRPr="006C1F9F" w:rsidRDefault="00303C1B" w:rsidP="00303C1B">
      <w:pPr>
        <w:spacing w:after="0" w:line="240" w:lineRule="auto"/>
        <w:ind w:left="1440" w:right="14"/>
        <w:jc w:val="both"/>
        <w:rPr>
          <w:rFonts w:ascii="Rockwell" w:hAnsi="Rockwell"/>
        </w:rPr>
      </w:pPr>
    </w:p>
    <w:p w14:paraId="6B4B2AD3" w14:textId="77777777" w:rsidR="00303C1B" w:rsidRPr="006C1F9F" w:rsidRDefault="00303C1B" w:rsidP="00303C1B">
      <w:pPr>
        <w:pStyle w:val="ListParagraph"/>
        <w:numPr>
          <w:ilvl w:val="0"/>
          <w:numId w:val="2"/>
        </w:numPr>
        <w:spacing w:after="0" w:line="240" w:lineRule="auto"/>
        <w:ind w:right="14"/>
        <w:contextualSpacing w:val="0"/>
        <w:jc w:val="both"/>
        <w:rPr>
          <w:rFonts w:ascii="Rockwell" w:hAnsi="Rockwell"/>
        </w:rPr>
      </w:pPr>
      <w:r w:rsidRPr="006C1F9F">
        <w:rPr>
          <w:rFonts w:ascii="Rockwell" w:hAnsi="Rockwell"/>
        </w:rPr>
        <w:t xml:space="preserve">Le présent avis d’appel d’offres fait suite à l’avis général de passation de marchés paru dans le Renouveau le 05/8/2025, site des marchés publics du Burundi le 05/8/2024, site web des programmes et projets du FIDA au Burundi le 05/8/2025 </w:t>
      </w:r>
      <w:bookmarkStart w:id="1" w:name="_Hlk200222905"/>
      <w:r w:rsidRPr="006C1F9F">
        <w:rPr>
          <w:rFonts w:ascii="Rockwell" w:hAnsi="Rockwell"/>
        </w:rPr>
        <w:t>et le 30/7/2025 sur le site de Burundi Jobs.</w:t>
      </w:r>
    </w:p>
    <w:bookmarkEnd w:id="1"/>
    <w:p w14:paraId="3DB6CE46" w14:textId="77777777" w:rsidR="00303C1B" w:rsidRPr="006C1F9F" w:rsidRDefault="00303C1B" w:rsidP="00303C1B">
      <w:pPr>
        <w:pStyle w:val="ListParagraph"/>
        <w:ind w:right="14"/>
        <w:jc w:val="both"/>
        <w:rPr>
          <w:rFonts w:ascii="Rockwell" w:hAnsi="Rockwell"/>
        </w:rPr>
      </w:pPr>
    </w:p>
    <w:p w14:paraId="29142361" w14:textId="77777777" w:rsidR="00303C1B" w:rsidRPr="006C1F9F" w:rsidRDefault="00303C1B" w:rsidP="00303C1B">
      <w:pPr>
        <w:pStyle w:val="ListParagraph"/>
        <w:numPr>
          <w:ilvl w:val="0"/>
          <w:numId w:val="2"/>
        </w:numPr>
        <w:spacing w:after="0" w:line="240" w:lineRule="auto"/>
        <w:ind w:right="14"/>
        <w:contextualSpacing w:val="0"/>
        <w:jc w:val="both"/>
        <w:rPr>
          <w:rFonts w:ascii="Rockwell" w:hAnsi="Rockwell"/>
        </w:rPr>
      </w:pPr>
      <w:r w:rsidRPr="006C1F9F">
        <w:rPr>
          <w:rFonts w:ascii="Rockwell" w:hAnsi="Rockwell"/>
        </w:rPr>
        <w:t xml:space="preserve">Le </w:t>
      </w:r>
      <w:r w:rsidRPr="006C1F9F">
        <w:rPr>
          <w:rFonts w:ascii="Rockwell" w:hAnsi="Rockwell"/>
          <w:i/>
        </w:rPr>
        <w:t xml:space="preserve">PRODER </w:t>
      </w:r>
      <w:r w:rsidRPr="006C1F9F">
        <w:rPr>
          <w:rFonts w:ascii="Rockwell" w:hAnsi="Rockwell"/>
        </w:rPr>
        <w:t xml:space="preserve">invite à présent les entités remplissant les conditions requises ("soumissionnaires") à soumettre des propositions en vue de la fourniture des biens </w:t>
      </w:r>
      <w:r w:rsidRPr="006C1F9F">
        <w:rPr>
          <w:rFonts w:ascii="Rockwell" w:hAnsi="Rockwell"/>
        </w:rPr>
        <w:lastRenderedPageBreak/>
        <w:t xml:space="preserve">énumérés ci-après : </w:t>
      </w:r>
      <w:r w:rsidRPr="006C1F9F">
        <w:rPr>
          <w:rFonts w:ascii="Rockwell" w:hAnsi="Rockwell"/>
          <w:b/>
          <w:bCs/>
        </w:rPr>
        <w:t xml:space="preserve">fourniture </w:t>
      </w:r>
      <w:r w:rsidRPr="006C1F9F">
        <w:rPr>
          <w:rFonts w:ascii="Rockwell" w:hAnsi="Rockwell"/>
          <w:b/>
          <w:bCs/>
          <w:iCs/>
        </w:rPr>
        <w:t>d</w:t>
      </w:r>
      <w:r w:rsidRPr="006C1F9F">
        <w:rPr>
          <w:rFonts w:ascii="Rockwell" w:hAnsi="Rockwell"/>
          <w:b/>
          <w:iCs/>
        </w:rPr>
        <w:t>es kits d’accompagnement des bovins</w:t>
      </w:r>
      <w:r w:rsidRPr="006C1F9F">
        <w:rPr>
          <w:rFonts w:ascii="Rockwell" w:hAnsi="Rockwell"/>
        </w:rPr>
        <w:t>. Des précisions concernant les kits figurent dans les spécifications techniques.</w:t>
      </w:r>
    </w:p>
    <w:p w14:paraId="049E12D0" w14:textId="77777777" w:rsidR="00303C1B" w:rsidRPr="006C1F9F" w:rsidRDefault="00303C1B" w:rsidP="00303C1B">
      <w:pPr>
        <w:pStyle w:val="ListParagraph"/>
        <w:rPr>
          <w:rFonts w:ascii="Rockwell" w:hAnsi="Rockwell"/>
        </w:rPr>
      </w:pPr>
    </w:p>
    <w:p w14:paraId="3F446F7C" w14:textId="77777777" w:rsidR="00303C1B" w:rsidRPr="006C1F9F" w:rsidRDefault="00303C1B" w:rsidP="00303C1B">
      <w:pPr>
        <w:pStyle w:val="ListParagraph"/>
        <w:numPr>
          <w:ilvl w:val="0"/>
          <w:numId w:val="2"/>
        </w:numPr>
        <w:suppressAutoHyphens/>
        <w:autoSpaceDN w:val="0"/>
        <w:spacing w:after="120" w:line="240" w:lineRule="auto"/>
        <w:ind w:left="708" w:right="-1"/>
        <w:contextualSpacing w:val="0"/>
        <w:jc w:val="both"/>
        <w:textAlignment w:val="baseline"/>
        <w:rPr>
          <w:rFonts w:ascii="Rockwell" w:hAnsi="Rockwell"/>
        </w:rPr>
      </w:pPr>
      <w:r w:rsidRPr="006C1F9F">
        <w:rPr>
          <w:rFonts w:ascii="Rockwell" w:hAnsi="Rockwell" w:cs="Arial"/>
          <w:lang w:eastAsia="fr-FR"/>
        </w:rPr>
        <w:t xml:space="preserve"> </w:t>
      </w:r>
      <w:r w:rsidRPr="006C1F9F">
        <w:rPr>
          <w:rFonts w:ascii="Rockwell" w:hAnsi="Rockwell"/>
        </w:rPr>
        <w:t xml:space="preserve">L’acheteur invite à présent les entités remplissant les conditions requises ("soumissionnaires") à communiquer leurs offres sous pli cacheté pour la </w:t>
      </w:r>
      <w:r w:rsidRPr="006C1F9F">
        <w:rPr>
          <w:rFonts w:ascii="Rockwell" w:hAnsi="Rockwell"/>
          <w:b/>
          <w:bCs/>
        </w:rPr>
        <w:t xml:space="preserve">fourniture </w:t>
      </w:r>
      <w:r w:rsidRPr="006C1F9F">
        <w:rPr>
          <w:rFonts w:ascii="Rockwell" w:hAnsi="Rockwell"/>
          <w:b/>
          <w:bCs/>
          <w:iCs/>
        </w:rPr>
        <w:t>d</w:t>
      </w:r>
      <w:r w:rsidRPr="006C1F9F">
        <w:rPr>
          <w:rFonts w:ascii="Rockwell" w:hAnsi="Rockwell"/>
          <w:b/>
          <w:iCs/>
        </w:rPr>
        <w:t>es kits d’accompagnement des bovins</w:t>
      </w:r>
      <w:r w:rsidRPr="006C1F9F">
        <w:rPr>
          <w:rFonts w:ascii="Rockwell" w:hAnsi="Rockwell"/>
        </w:rPr>
        <w:t xml:space="preserve">. </w:t>
      </w:r>
    </w:p>
    <w:p w14:paraId="3F75AB2F" w14:textId="77777777" w:rsidR="00303C1B" w:rsidRPr="006C1F9F" w:rsidRDefault="00303C1B" w:rsidP="00303C1B">
      <w:pPr>
        <w:suppressAutoHyphens/>
        <w:autoSpaceDN w:val="0"/>
        <w:spacing w:after="120" w:line="240" w:lineRule="auto"/>
        <w:ind w:left="720" w:right="-1"/>
        <w:jc w:val="both"/>
        <w:textAlignment w:val="baseline"/>
        <w:rPr>
          <w:rFonts w:ascii="Rockwell" w:hAnsi="Rockwell"/>
          <w:b/>
          <w:iCs/>
        </w:rPr>
      </w:pPr>
      <w:r w:rsidRPr="006C1F9F">
        <w:rPr>
          <w:rFonts w:ascii="Rockwell" w:eastAsia="Times New Roman" w:hAnsi="Rockwell" w:cs="Times New Roman"/>
          <w:kern w:val="0"/>
          <w14:ligatures w14:val="none"/>
        </w:rPr>
        <w:t xml:space="preserve">Les biens et services connexes, ainsi que le marché qu’il est prévu d’attribuer, sont constitués de </w:t>
      </w:r>
      <w:r w:rsidRPr="006C1F9F">
        <w:rPr>
          <w:rFonts w:ascii="Rockwell" w:eastAsia="Times New Roman" w:hAnsi="Rockwell" w:cs="Times New Roman"/>
          <w:b/>
          <w:bCs/>
          <w:kern w:val="0"/>
          <w14:ligatures w14:val="none"/>
        </w:rPr>
        <w:t>deux</w:t>
      </w:r>
      <w:r w:rsidRPr="006C1F9F">
        <w:rPr>
          <w:rFonts w:ascii="Rockwell" w:eastAsia="Times New Roman" w:hAnsi="Rockwell" w:cs="Times New Roman"/>
          <w:kern w:val="0"/>
          <w14:ligatures w14:val="none"/>
        </w:rPr>
        <w:t xml:space="preserve"> (</w:t>
      </w:r>
      <w:r w:rsidRPr="006C1F9F">
        <w:rPr>
          <w:rFonts w:ascii="Rockwell" w:eastAsia="Times New Roman" w:hAnsi="Rockwell" w:cs="Times New Roman"/>
          <w:b/>
          <w:bCs/>
          <w:kern w:val="0"/>
          <w14:ligatures w14:val="none"/>
        </w:rPr>
        <w:t>02</w:t>
      </w:r>
      <w:r w:rsidRPr="006C1F9F">
        <w:rPr>
          <w:rFonts w:ascii="Rockwell" w:eastAsia="Times New Roman" w:hAnsi="Rockwell" w:cs="Times New Roman"/>
          <w:kern w:val="0"/>
          <w14:ligatures w14:val="none"/>
        </w:rPr>
        <w:t xml:space="preserve">) </w:t>
      </w:r>
      <w:r w:rsidRPr="006C1F9F">
        <w:rPr>
          <w:rFonts w:ascii="Rockwell" w:eastAsia="Times New Roman" w:hAnsi="Rockwell" w:cs="Times New Roman"/>
          <w:b/>
          <w:bCs/>
          <w:kern w:val="0"/>
          <w14:ligatures w14:val="none"/>
        </w:rPr>
        <w:t xml:space="preserve">lots à savoir : </w:t>
      </w:r>
      <w:r w:rsidRPr="006C1F9F">
        <w:rPr>
          <w:rFonts w:ascii="Rockwell" w:hAnsi="Rockwell"/>
          <w:b/>
          <w:iCs/>
        </w:rPr>
        <w:t xml:space="preserve"> </w:t>
      </w:r>
    </w:p>
    <w:p w14:paraId="2034FA53" w14:textId="77777777" w:rsidR="00303C1B" w:rsidRPr="006C1F9F" w:rsidRDefault="00303C1B" w:rsidP="00303C1B">
      <w:pPr>
        <w:pStyle w:val="ListParagraph"/>
        <w:numPr>
          <w:ilvl w:val="0"/>
          <w:numId w:val="5"/>
        </w:numPr>
        <w:suppressAutoHyphens/>
        <w:autoSpaceDN w:val="0"/>
        <w:spacing w:after="0" w:line="240" w:lineRule="auto"/>
        <w:ind w:right="-1"/>
        <w:contextualSpacing w:val="0"/>
        <w:jc w:val="both"/>
        <w:textAlignment w:val="baseline"/>
        <w:rPr>
          <w:rFonts w:ascii="Rockwell" w:hAnsi="Rockwell"/>
          <w:b/>
          <w:bCs/>
        </w:rPr>
      </w:pPr>
      <w:r w:rsidRPr="006C1F9F">
        <w:rPr>
          <w:rFonts w:ascii="Rockwell" w:hAnsi="Rockwell"/>
          <w:b/>
          <w:bCs/>
        </w:rPr>
        <w:t>Lot 1 : Fourniture des matériels et produits à usage vétérinaire</w:t>
      </w:r>
    </w:p>
    <w:p w14:paraId="2B740A3C" w14:textId="77777777" w:rsidR="00303C1B" w:rsidRPr="006C1F9F" w:rsidRDefault="00303C1B" w:rsidP="00303C1B">
      <w:pPr>
        <w:pStyle w:val="ListParagraph"/>
        <w:numPr>
          <w:ilvl w:val="0"/>
          <w:numId w:val="5"/>
        </w:numPr>
        <w:suppressAutoHyphens/>
        <w:autoSpaceDN w:val="0"/>
        <w:spacing w:after="0" w:line="240" w:lineRule="auto"/>
        <w:ind w:right="-1"/>
        <w:contextualSpacing w:val="0"/>
        <w:jc w:val="both"/>
        <w:textAlignment w:val="baseline"/>
        <w:rPr>
          <w:rFonts w:ascii="Rockwell" w:hAnsi="Rockwell"/>
          <w:b/>
          <w:bCs/>
        </w:rPr>
      </w:pPr>
      <w:r w:rsidRPr="006C1F9F">
        <w:rPr>
          <w:rFonts w:ascii="Rockwell" w:hAnsi="Rockwell"/>
          <w:b/>
          <w:bCs/>
        </w:rPr>
        <w:t>Lot 2 : Fourniture des aliments du bétail</w:t>
      </w:r>
    </w:p>
    <w:p w14:paraId="1DB96F99" w14:textId="77777777" w:rsidR="00303C1B" w:rsidRPr="006C1F9F" w:rsidRDefault="00303C1B" w:rsidP="00303C1B">
      <w:pPr>
        <w:pStyle w:val="ListParagraph"/>
        <w:suppressAutoHyphens/>
        <w:autoSpaceDN w:val="0"/>
        <w:ind w:left="1080" w:right="-1"/>
        <w:jc w:val="both"/>
        <w:textAlignment w:val="baseline"/>
        <w:rPr>
          <w:rFonts w:ascii="Rockwell" w:hAnsi="Rockwell"/>
          <w:b/>
          <w:bCs/>
        </w:rPr>
      </w:pPr>
    </w:p>
    <w:p w14:paraId="6DFB0537" w14:textId="77777777" w:rsidR="00303C1B" w:rsidRPr="006C1F9F" w:rsidRDefault="00303C1B" w:rsidP="00303C1B">
      <w:pPr>
        <w:suppressAutoHyphens/>
        <w:autoSpaceDN w:val="0"/>
        <w:spacing w:after="120"/>
        <w:ind w:left="720" w:right="-1"/>
        <w:jc w:val="both"/>
        <w:textAlignment w:val="baseline"/>
        <w:rPr>
          <w:rFonts w:ascii="Rockwell" w:hAnsi="Rockwell"/>
        </w:rPr>
      </w:pPr>
      <w:r w:rsidRPr="006C1F9F">
        <w:rPr>
          <w:rFonts w:ascii="Rockwell" w:hAnsi="Rockwell"/>
        </w:rPr>
        <w:t>Aucun soumissionnaire ne pourra être attributaire de plus d’un lot, sauf si aucune offre n’est conforme pour tous les lots où un soumissionnaire pourra être attributaire de plus d’un lot.</w:t>
      </w:r>
    </w:p>
    <w:p w14:paraId="5203F781" w14:textId="77777777" w:rsidR="00303C1B" w:rsidRPr="006C1F9F" w:rsidRDefault="00303C1B" w:rsidP="00303C1B">
      <w:pPr>
        <w:suppressAutoHyphens/>
        <w:autoSpaceDN w:val="0"/>
        <w:spacing w:after="120" w:line="240" w:lineRule="auto"/>
        <w:ind w:left="720" w:right="-1"/>
        <w:jc w:val="both"/>
        <w:textAlignment w:val="baseline"/>
        <w:rPr>
          <w:rFonts w:ascii="Rockwell" w:hAnsi="Rockwell"/>
          <w:highlight w:val="yellow"/>
        </w:rPr>
      </w:pPr>
      <w:r w:rsidRPr="006C1F9F">
        <w:rPr>
          <w:rFonts w:ascii="Rockwell" w:hAnsi="Rockwell"/>
        </w:rPr>
        <w:t>Le marché sera attribué au soumissionnaire ayant présenté une offre jugée la moins-disante par l’Autorité Contractante conformément aux dispositions des articles 50, 193 et 194 du Code des Marchés Publics du Burundi du 29/01/2018.</w:t>
      </w:r>
    </w:p>
    <w:p w14:paraId="7D3AF8AF" w14:textId="77777777" w:rsidR="00303C1B" w:rsidRPr="006C1F9F" w:rsidRDefault="00303C1B" w:rsidP="00303C1B">
      <w:pPr>
        <w:pStyle w:val="ListParagraph"/>
        <w:suppressAutoHyphens/>
        <w:autoSpaceDN w:val="0"/>
        <w:spacing w:after="120"/>
        <w:ind w:left="708" w:right="-1"/>
        <w:jc w:val="both"/>
        <w:textAlignment w:val="baseline"/>
        <w:rPr>
          <w:rFonts w:ascii="Rockwell" w:hAnsi="Rockwell"/>
        </w:rPr>
      </w:pPr>
      <w:r w:rsidRPr="006C1F9F">
        <w:rPr>
          <w:rFonts w:ascii="Rockwell" w:hAnsi="Rockwell"/>
        </w:rPr>
        <w:t xml:space="preserve">On trouvera de plus amples informations concernant les kits et services connexes sur le bordereau des quantités/calendrier de livraison qui figure dans le présent dossier d’appel d’offres. </w:t>
      </w:r>
    </w:p>
    <w:p w14:paraId="5A635632" w14:textId="77777777" w:rsidR="00303C1B" w:rsidRPr="006C1F9F" w:rsidRDefault="00303C1B" w:rsidP="00303C1B">
      <w:pPr>
        <w:pStyle w:val="ListParagraph"/>
        <w:numPr>
          <w:ilvl w:val="0"/>
          <w:numId w:val="2"/>
        </w:numPr>
        <w:suppressAutoHyphens/>
        <w:autoSpaceDN w:val="0"/>
        <w:spacing w:after="120" w:line="240" w:lineRule="auto"/>
        <w:ind w:left="708" w:right="-1"/>
        <w:contextualSpacing w:val="0"/>
        <w:jc w:val="both"/>
        <w:textAlignment w:val="baseline"/>
        <w:rPr>
          <w:rFonts w:ascii="Rockwell" w:hAnsi="Rockwell"/>
        </w:rPr>
      </w:pPr>
      <w:r w:rsidRPr="006C1F9F">
        <w:rPr>
          <w:rFonts w:ascii="Rockwell" w:hAnsi="Rockwell"/>
        </w:rPr>
        <w:t>L’appel d’offres est ouvert à quiconque souhaite y répondre, pourvu qu’il remplisse les conditions requises. Sous réserve des restrictions énoncées dans le dossier d’appel d’offres, les entités habilitées peuvent s’associer à d’autres soumissionnaires afin d’accroître leur capacité à livrer les biens et services connexes.</w:t>
      </w:r>
    </w:p>
    <w:p w14:paraId="2FEEA97C" w14:textId="77777777" w:rsidR="00303C1B" w:rsidRPr="006C1F9F" w:rsidRDefault="00303C1B" w:rsidP="00303C1B">
      <w:pPr>
        <w:pStyle w:val="ListParagraph"/>
        <w:numPr>
          <w:ilvl w:val="0"/>
          <w:numId w:val="2"/>
        </w:numPr>
        <w:suppressAutoHyphens/>
        <w:autoSpaceDN w:val="0"/>
        <w:spacing w:after="120" w:line="240" w:lineRule="auto"/>
        <w:ind w:left="708" w:right="-1"/>
        <w:contextualSpacing w:val="0"/>
        <w:jc w:val="both"/>
        <w:textAlignment w:val="baseline"/>
        <w:rPr>
          <w:rFonts w:ascii="Rockwell" w:hAnsi="Rockwell"/>
        </w:rPr>
      </w:pPr>
      <w:r w:rsidRPr="006C1F9F">
        <w:rPr>
          <w:rFonts w:ascii="Rockwell" w:hAnsi="Rockwell"/>
        </w:rPr>
        <w:t xml:space="preserve">Il a été décidé, pour le présent marché, de passer un appel d’offres international, offres qui seront évaluées selon la procédure décrite dans le dossier, conformément au Guide pratique de passation des marchés du FIDA consultable sur le site du FIDA </w:t>
      </w:r>
      <w:r w:rsidRPr="006C1F9F">
        <w:rPr>
          <w:rFonts w:ascii="Rockwell" w:hAnsi="Rockwell"/>
          <w:i/>
          <w:iCs/>
        </w:rPr>
        <w:t>[</w:t>
      </w:r>
      <w:r w:rsidRPr="006C1F9F">
        <w:rPr>
          <w:rFonts w:ascii="Rockwell" w:hAnsi="Rockwell"/>
          <w:color w:val="006D21"/>
          <w:shd w:val="clear" w:color="auto" w:fill="FFFFFF"/>
        </w:rPr>
        <w:t>https://www.ifad.org/fr/-/document/ifad-procurement-handbook</w:t>
      </w:r>
    </w:p>
    <w:p w14:paraId="71E8D468" w14:textId="77777777" w:rsidR="00303C1B" w:rsidRPr="006C1F9F" w:rsidRDefault="00303C1B" w:rsidP="00303C1B">
      <w:pPr>
        <w:pStyle w:val="ListParagraph"/>
        <w:rPr>
          <w:rFonts w:ascii="Rockwell" w:hAnsi="Rockwell"/>
        </w:rPr>
      </w:pPr>
    </w:p>
    <w:p w14:paraId="0C299C3C" w14:textId="77777777" w:rsidR="00303C1B" w:rsidRPr="006C1F9F" w:rsidRDefault="00303C1B" w:rsidP="00303C1B">
      <w:pPr>
        <w:pStyle w:val="ListParagraph"/>
        <w:numPr>
          <w:ilvl w:val="0"/>
          <w:numId w:val="2"/>
        </w:numPr>
        <w:spacing w:after="200" w:line="240" w:lineRule="auto"/>
        <w:ind w:right="276"/>
        <w:jc w:val="both"/>
        <w:rPr>
          <w:rFonts w:ascii="Rockwell" w:hAnsi="Rockwell"/>
        </w:rPr>
      </w:pPr>
      <w:bookmarkStart w:id="2" w:name="_Hlk200223118"/>
      <w:r w:rsidRPr="006C1F9F">
        <w:rPr>
          <w:rFonts w:ascii="Rockwell" w:hAnsi="Rockwell"/>
        </w:rPr>
        <w:t xml:space="preserve">Le Dossier d’Appel d’Offres peut être consulté au secrétariat du </w:t>
      </w:r>
      <w:r w:rsidRPr="006C1F9F">
        <w:rPr>
          <w:rFonts w:ascii="Rockwell" w:eastAsia="Arial Unicode MS" w:hAnsi="Rockwell"/>
          <w:bCs/>
        </w:rPr>
        <w:t>Programme de Développement de l’Entrepreneuriat Rural « PRODER »</w:t>
      </w:r>
      <w:r w:rsidRPr="006C1F9F">
        <w:rPr>
          <w:rFonts w:ascii="Rockwell" w:hAnsi="Rockwell" w:cs="Arial"/>
        </w:rPr>
        <w:t>, sise Avenue du Large n</w:t>
      </w:r>
      <w:r w:rsidRPr="006C1F9F">
        <w:rPr>
          <w:rFonts w:ascii="Rockwell" w:hAnsi="Rockwell"/>
        </w:rPr>
        <w:t>° 30, Zone KININDO ; Commune MUHA ; Mairie de Bujumbura/Burundi ; Immeu</w:t>
      </w:r>
      <w:r w:rsidRPr="006C1F9F">
        <w:rPr>
          <w:rFonts w:ascii="Rockwell" w:hAnsi="Rockwell" w:cs="Arial"/>
        </w:rPr>
        <w:t>ble des Projets/Programmes financés par le FIDA au Burundi ; 1</w:t>
      </w:r>
      <w:r w:rsidRPr="006C1F9F">
        <w:rPr>
          <w:rFonts w:ascii="Rockwell" w:hAnsi="Rockwell" w:cs="Arial"/>
          <w:vertAlign w:val="superscript"/>
        </w:rPr>
        <w:t xml:space="preserve">èr </w:t>
      </w:r>
      <w:r w:rsidRPr="006C1F9F">
        <w:rPr>
          <w:rFonts w:ascii="Rockwell" w:hAnsi="Rockwell" w:cs="Arial"/>
        </w:rPr>
        <w:t xml:space="preserve">étage, Tél : +257 22 21 12 00 et </w:t>
      </w:r>
      <w:hyperlink r:id="rId7" w:history="1">
        <w:r w:rsidRPr="006C1F9F">
          <w:rPr>
            <w:rStyle w:val="Hyperlink"/>
            <w:rFonts w:ascii="Rockwell" w:eastAsia="SimSun" w:hAnsi="Rockwell"/>
          </w:rPr>
          <w:t>www.programmefidaburundi@.org</w:t>
        </w:r>
      </w:hyperlink>
      <w:r w:rsidRPr="006C1F9F">
        <w:rPr>
          <w:rStyle w:val="Hyperlink"/>
          <w:rFonts w:ascii="Rockwell" w:eastAsia="SimSun" w:hAnsi="Rockwell"/>
        </w:rPr>
        <w:t xml:space="preserve">  , sur le site web des marchés publics du Burundi  wwwarmp.bi, et sur le site de Burundi Jobs.</w:t>
      </w:r>
      <w:r w:rsidRPr="006C1F9F">
        <w:rPr>
          <w:rFonts w:ascii="Rockwell" w:eastAsia="MS Mincho" w:hAnsi="Rockwell"/>
        </w:rPr>
        <w:t xml:space="preserve"> </w:t>
      </w:r>
      <w:bookmarkEnd w:id="2"/>
    </w:p>
    <w:p w14:paraId="335B666A" w14:textId="77777777" w:rsidR="00303C1B" w:rsidRPr="006C1F9F" w:rsidRDefault="00303C1B" w:rsidP="00303C1B">
      <w:pPr>
        <w:pStyle w:val="ListParagraph"/>
        <w:jc w:val="both"/>
        <w:rPr>
          <w:rFonts w:ascii="Rockwell" w:hAnsi="Rockwell"/>
        </w:rPr>
      </w:pPr>
    </w:p>
    <w:p w14:paraId="5474C853" w14:textId="77777777" w:rsidR="00303C1B" w:rsidRPr="006C1F9F" w:rsidRDefault="00303C1B" w:rsidP="00303C1B">
      <w:pPr>
        <w:pStyle w:val="ListParagraph"/>
        <w:jc w:val="both"/>
        <w:rPr>
          <w:rFonts w:ascii="Rockwell" w:hAnsi="Rockwell"/>
          <w:lang w:eastAsia="fr-FR"/>
        </w:rPr>
      </w:pPr>
      <w:r w:rsidRPr="006C1F9F">
        <w:rPr>
          <w:rFonts w:ascii="Rockwell" w:hAnsi="Rockwell" w:cs="Arial"/>
        </w:rPr>
        <w:t xml:space="preserve">Il peut être obtenu à l’adresse indiquée ci-dessus moyennant paiement d'un montant non remboursable de deux cent mille Francs Burundi (Bif 200.000) ou septante dollars américains (70 USD) dont la moitié cent mille (100.000 BIF) ou 35 USD sera versée sur le sous- compte des recettes non fiscales de l’Etat n° </w:t>
      </w:r>
      <w:r w:rsidRPr="006C1F9F">
        <w:rPr>
          <w:rFonts w:ascii="Rockwell" w:eastAsia="Calibri" w:hAnsi="Rockwell" w:cs="Arial"/>
          <w:lang w:eastAsia="fr-FR"/>
        </w:rPr>
        <w:t xml:space="preserve">CC10003 ouvert à la BRB et l’autre moitié cent mille (100.000 BIF) OU 35 USD sur le compte n° CC13915 03104582302 ouvert à la BRB au nom du PRODER /recettes internes. </w:t>
      </w:r>
    </w:p>
    <w:p w14:paraId="1F35ED7F" w14:textId="77777777" w:rsidR="00303C1B" w:rsidRPr="006C1F9F" w:rsidRDefault="00303C1B" w:rsidP="00303C1B">
      <w:pPr>
        <w:pStyle w:val="ListParagraph"/>
        <w:jc w:val="both"/>
        <w:rPr>
          <w:rFonts w:ascii="Rockwell" w:hAnsi="Rockwell"/>
          <w:lang w:eastAsia="fr-FR"/>
        </w:rPr>
      </w:pPr>
    </w:p>
    <w:p w14:paraId="72E4F6B4" w14:textId="70B0E4FD" w:rsidR="00303C1B" w:rsidRPr="006C1F9F" w:rsidRDefault="00303C1B" w:rsidP="00303C1B">
      <w:pPr>
        <w:pStyle w:val="ListParagraph"/>
        <w:numPr>
          <w:ilvl w:val="0"/>
          <w:numId w:val="2"/>
        </w:numPr>
        <w:spacing w:after="200" w:line="240" w:lineRule="auto"/>
        <w:jc w:val="both"/>
        <w:rPr>
          <w:rFonts w:ascii="Rockwell" w:hAnsi="Rockwell" w:cs="Arial"/>
        </w:rPr>
      </w:pPr>
      <w:r w:rsidRPr="006C1F9F">
        <w:rPr>
          <w:rFonts w:ascii="Rockwell" w:hAnsi="Rockwell" w:cs="Arial"/>
        </w:rPr>
        <w:t xml:space="preserve">Toute question concernant le présent appel d’offres doit être adressée par écrit au Coordonnateur du PRODER à l’adresse ci-dessus ou par courriel </w:t>
      </w:r>
      <w:r w:rsidRPr="006C1F9F">
        <w:rPr>
          <w:rFonts w:ascii="Rockwell" w:hAnsi="Rockwell"/>
          <w:bCs/>
        </w:rPr>
        <w:t xml:space="preserve">à </w:t>
      </w:r>
      <w:hyperlink r:id="rId8" w:history="1">
        <w:r w:rsidRPr="006C1F9F">
          <w:rPr>
            <w:rStyle w:val="Hyperlink"/>
            <w:rFonts w:ascii="Rockwell" w:hAnsi="Rockwell"/>
          </w:rPr>
          <w:t>nti.come@programmefidaburundi.org</w:t>
        </w:r>
      </w:hyperlink>
      <w:r w:rsidRPr="006C1F9F">
        <w:rPr>
          <w:rFonts w:ascii="Rockwell" w:hAnsi="Rockwell"/>
        </w:rPr>
        <w:t xml:space="preserve"> </w:t>
      </w:r>
      <w:r w:rsidRPr="006C1F9F">
        <w:rPr>
          <w:rFonts w:ascii="Rockwell" w:hAnsi="Rockwell"/>
          <w:bCs/>
        </w:rPr>
        <w:t xml:space="preserve">avec copie pour information à </w:t>
      </w:r>
      <w:hyperlink r:id="rId9" w:history="1">
        <w:r w:rsidRPr="006C1F9F">
          <w:rPr>
            <w:rStyle w:val="Hyperlink"/>
            <w:rFonts w:ascii="Rockwell" w:eastAsia="SimSun" w:hAnsi="Rockwell"/>
            <w:lang w:eastAsia="fr-FR"/>
          </w:rPr>
          <w:t>ntircome@gmail.com</w:t>
        </w:r>
      </w:hyperlink>
      <w:r w:rsidRPr="006C1F9F">
        <w:rPr>
          <w:rFonts w:ascii="Rockwell" w:hAnsi="Rockwell"/>
        </w:rPr>
        <w:t xml:space="preserve">  </w:t>
      </w:r>
      <w:r w:rsidRPr="006C1F9F">
        <w:rPr>
          <w:rFonts w:ascii="Rockwell" w:hAnsi="Rockwell"/>
          <w:bCs/>
        </w:rPr>
        <w:t>Coordonnateur du PRODER et à</w:t>
      </w:r>
      <w:r w:rsidRPr="006C1F9F">
        <w:rPr>
          <w:rFonts w:ascii="Rockwell" w:hAnsi="Rockwell"/>
        </w:rPr>
        <w:t xml:space="preserve"> </w:t>
      </w:r>
      <w:r w:rsidRPr="006C1F9F">
        <w:rPr>
          <w:rFonts w:ascii="Rockwell" w:hAnsi="Rockwell"/>
          <w:bCs/>
        </w:rPr>
        <w:t xml:space="preserve"> </w:t>
      </w:r>
      <w:hyperlink r:id="rId10" w:history="1">
        <w:r w:rsidRPr="006C1F9F">
          <w:rPr>
            <w:rStyle w:val="Hyperlink"/>
            <w:rFonts w:ascii="Rockwell" w:hAnsi="Rockwell"/>
          </w:rPr>
          <w:t>egidiusniyo@yahoo.com</w:t>
        </w:r>
      </w:hyperlink>
      <w:r w:rsidRPr="006C1F9F">
        <w:rPr>
          <w:rFonts w:ascii="Rockwell" w:hAnsi="Rockwell"/>
          <w:bCs/>
        </w:rPr>
        <w:t xml:space="preserve"> </w:t>
      </w:r>
      <w:r w:rsidRPr="006C1F9F">
        <w:rPr>
          <w:rFonts w:ascii="Rockwell" w:hAnsi="Rockwell"/>
          <w:bCs/>
        </w:rPr>
        <w:lastRenderedPageBreak/>
        <w:t>du Responsable de Passation des Marchés</w:t>
      </w:r>
      <w:r w:rsidRPr="006C1F9F">
        <w:rPr>
          <w:rFonts w:ascii="Rockwell" w:hAnsi="Rockwell" w:cs="Arial"/>
        </w:rPr>
        <w:t>, en mentionnant la référence de la publication (AAOI N° DNCMP /</w:t>
      </w:r>
      <w:r w:rsidR="00C70E75">
        <w:rPr>
          <w:rFonts w:ascii="Rockwell" w:hAnsi="Rockwell" w:cs="Arial"/>
        </w:rPr>
        <w:t>616</w:t>
      </w:r>
      <w:r w:rsidRPr="006C1F9F">
        <w:rPr>
          <w:rFonts w:ascii="Rockwell" w:hAnsi="Rockwell" w:cs="Arial"/>
        </w:rPr>
        <w:t>/F/2025-2026), au moins dix (10) jours calendriers avant la date limite de la remise des offres figurant au point 11 ci-dessous. L’Acheteur répondra par courrier physique ou courriel électronique à toute demande d’éclaircissements relatifs au Dossier d’Appel d’Offres, qu’il aura reçue. Les soumissionnaires pourront ainsi être assurés de recevoir les mises à jour dont pourrait faire l’objet le présent dossier.</w:t>
      </w:r>
    </w:p>
    <w:p w14:paraId="54D941DD" w14:textId="7929F080" w:rsidR="00303C1B" w:rsidRPr="006C1F9F" w:rsidRDefault="00303C1B" w:rsidP="00303C1B">
      <w:pPr>
        <w:numPr>
          <w:ilvl w:val="0"/>
          <w:numId w:val="2"/>
        </w:numPr>
        <w:spacing w:before="120" w:after="120" w:line="240" w:lineRule="auto"/>
        <w:jc w:val="both"/>
        <w:rPr>
          <w:rFonts w:ascii="Rockwell" w:eastAsia="Times New Roman" w:hAnsi="Rockwell" w:cs="Times New Roman"/>
          <w:bCs/>
          <w:kern w:val="0"/>
          <w14:ligatures w14:val="none"/>
        </w:rPr>
      </w:pPr>
      <w:r w:rsidRPr="006C1F9F">
        <w:rPr>
          <w:rFonts w:ascii="Rockwell" w:eastAsia="Times New Roman" w:hAnsi="Rockwell" w:cs="Times New Roman"/>
          <w:kern w:val="0"/>
          <w14:ligatures w14:val="none"/>
        </w:rPr>
        <w:t>Les offres doivent parvenir à l’adresse ci-dessous et selon les modalités indiquées dans les données particulières de l’appel d’offres – clause 25 des instructions à l’intention des soumissionnaires, au plus tard le</w:t>
      </w:r>
      <w:r w:rsidR="00C70E75">
        <w:rPr>
          <w:rFonts w:ascii="Rockwell" w:eastAsia="Times New Roman" w:hAnsi="Rockwell" w:cs="Times New Roman"/>
          <w:kern w:val="0"/>
          <w14:ligatures w14:val="none"/>
        </w:rPr>
        <w:t xml:space="preserve"> 20</w:t>
      </w:r>
      <w:r w:rsidRPr="006C1F9F">
        <w:rPr>
          <w:rFonts w:ascii="Rockwell" w:eastAsia="Times New Roman" w:hAnsi="Rockwell" w:cs="Times New Roman"/>
          <w:kern w:val="0"/>
          <w14:ligatures w14:val="none"/>
        </w:rPr>
        <w:t>/</w:t>
      </w:r>
      <w:r w:rsidR="00C70E75">
        <w:rPr>
          <w:rFonts w:ascii="Rockwell" w:eastAsia="Times New Roman" w:hAnsi="Rockwell" w:cs="Times New Roman"/>
          <w:kern w:val="0"/>
          <w14:ligatures w14:val="none"/>
        </w:rPr>
        <w:t>07</w:t>
      </w:r>
      <w:r w:rsidRPr="006C1F9F">
        <w:rPr>
          <w:rFonts w:ascii="Rockwell" w:eastAsia="Times New Roman" w:hAnsi="Rockwell" w:cs="Times New Roman"/>
          <w:kern w:val="0"/>
          <w14:ligatures w14:val="none"/>
        </w:rPr>
        <w:t>/2026 à 10 heures, heures locales (GMT+2)</w:t>
      </w:r>
      <w:r w:rsidRPr="006C1F9F">
        <w:rPr>
          <w:rFonts w:ascii="Rockwell" w:eastAsia="Times New Roman" w:hAnsi="Rockwell" w:cs="Times New Roman"/>
          <w:bCs/>
          <w:i/>
          <w:iCs/>
          <w:kern w:val="0"/>
          <w14:ligatures w14:val="none"/>
        </w:rPr>
        <w:t>.</w:t>
      </w:r>
    </w:p>
    <w:p w14:paraId="2DC09979" w14:textId="77777777" w:rsidR="00303C1B" w:rsidRPr="006C1F9F" w:rsidRDefault="00303C1B" w:rsidP="00303C1B">
      <w:pPr>
        <w:tabs>
          <w:tab w:val="center" w:pos="4536"/>
          <w:tab w:val="right" w:pos="9072"/>
        </w:tabs>
        <w:suppressAutoHyphens/>
        <w:autoSpaceDN w:val="0"/>
        <w:spacing w:after="0" w:line="249" w:lineRule="auto"/>
        <w:ind w:left="720"/>
        <w:jc w:val="both"/>
        <w:textAlignment w:val="baseline"/>
        <w:rPr>
          <w:rFonts w:ascii="Rockwell" w:eastAsia="Calibri" w:hAnsi="Rockwell" w:cs="Times New Roman"/>
          <w:b/>
          <w:kern w:val="0"/>
          <w14:ligatures w14:val="none"/>
        </w:rPr>
      </w:pPr>
      <w:bookmarkStart w:id="3" w:name="_Hlk200223231"/>
      <w:r w:rsidRPr="006C1F9F">
        <w:rPr>
          <w:rFonts w:ascii="Rockwell" w:eastAsia="Calibri" w:hAnsi="Rockwell" w:cs="Times New Roman"/>
          <w:b/>
          <w:kern w:val="0"/>
          <w14:ligatures w14:val="none"/>
        </w:rPr>
        <w:t xml:space="preserve">PROJET DE DEVELOPPEMENT DE L’ENTREPRENEURIAT RURAL (PRODER) </w:t>
      </w:r>
    </w:p>
    <w:p w14:paraId="50CC76CC" w14:textId="77777777" w:rsidR="00303C1B" w:rsidRPr="006C1F9F" w:rsidRDefault="00303C1B" w:rsidP="00303C1B">
      <w:pPr>
        <w:spacing w:after="0" w:line="240" w:lineRule="auto"/>
        <w:ind w:left="720"/>
        <w:jc w:val="both"/>
        <w:rPr>
          <w:rFonts w:ascii="Rockwell" w:eastAsia="Times New Roman" w:hAnsi="Rockwell" w:cs="Times New Roman"/>
          <w:iCs/>
          <w:kern w:val="0"/>
          <w14:ligatures w14:val="none"/>
        </w:rPr>
      </w:pPr>
    </w:p>
    <w:p w14:paraId="4EF640A8" w14:textId="77777777" w:rsidR="00303C1B" w:rsidRPr="006C1F9F" w:rsidRDefault="00303C1B" w:rsidP="00303C1B">
      <w:pPr>
        <w:spacing w:after="0" w:line="240" w:lineRule="auto"/>
        <w:ind w:left="720"/>
        <w:jc w:val="both"/>
        <w:rPr>
          <w:rFonts w:ascii="Rockwell" w:eastAsia="Times New Roman" w:hAnsi="Rockwell" w:cs="Times New Roman"/>
          <w:iCs/>
          <w:kern w:val="0"/>
          <w14:ligatures w14:val="none"/>
        </w:rPr>
      </w:pPr>
      <w:r w:rsidRPr="006C1F9F">
        <w:rPr>
          <w:rFonts w:ascii="Rockwell" w:eastAsia="Times New Roman" w:hAnsi="Rockwell" w:cs="Times New Roman"/>
          <w:iCs/>
          <w:kern w:val="0"/>
          <w14:ligatures w14:val="none"/>
        </w:rPr>
        <w:t>À l’attention de :</w:t>
      </w:r>
    </w:p>
    <w:p w14:paraId="581B50FC" w14:textId="77777777" w:rsidR="00303C1B" w:rsidRPr="006C1F9F" w:rsidRDefault="00303C1B" w:rsidP="00303C1B">
      <w:pPr>
        <w:pStyle w:val="ListParagraph"/>
        <w:suppressAutoHyphens/>
        <w:autoSpaceDN w:val="0"/>
        <w:spacing w:after="120"/>
        <w:ind w:left="708" w:right="-1"/>
        <w:jc w:val="both"/>
        <w:textAlignment w:val="baseline"/>
        <w:rPr>
          <w:rFonts w:ascii="Rockwell" w:hAnsi="Rockwell"/>
        </w:rPr>
      </w:pPr>
      <w:r w:rsidRPr="006C1F9F">
        <w:rPr>
          <w:rFonts w:ascii="Rockwell" w:hAnsi="Rockwell"/>
        </w:rPr>
        <w:t>Côme NTIRANYIBAGIRA, Coordonnateur du PRODER</w:t>
      </w:r>
    </w:p>
    <w:p w14:paraId="2AFEB93A" w14:textId="77777777" w:rsidR="00303C1B" w:rsidRPr="006C1F9F" w:rsidRDefault="00303C1B" w:rsidP="00303C1B">
      <w:pPr>
        <w:pStyle w:val="ListParagraph"/>
        <w:suppressAutoHyphens/>
        <w:autoSpaceDN w:val="0"/>
        <w:spacing w:after="120"/>
        <w:ind w:left="708" w:right="-1"/>
        <w:jc w:val="both"/>
        <w:textAlignment w:val="baseline"/>
        <w:rPr>
          <w:rFonts w:ascii="Rockwell" w:hAnsi="Rockwell"/>
        </w:rPr>
      </w:pPr>
      <w:r w:rsidRPr="006C1F9F">
        <w:rPr>
          <w:rFonts w:ascii="Rockwell" w:hAnsi="Rockwell"/>
        </w:rPr>
        <w:t>Avenue du large n°30 </w:t>
      </w:r>
      <w:bookmarkStart w:id="4" w:name="_Hlk199340040"/>
      <w:r w:rsidRPr="006C1F9F">
        <w:rPr>
          <w:rFonts w:ascii="Rockwell" w:hAnsi="Rockwell" w:cs="Arial"/>
        </w:rPr>
        <w:t xml:space="preserve">sise Avenue du Large n° 30 ; </w:t>
      </w:r>
      <w:r w:rsidRPr="006C1F9F">
        <w:rPr>
          <w:rFonts w:ascii="Rockwell" w:hAnsi="Rockwell"/>
        </w:rPr>
        <w:t>Zone KININDO ; Commune MUGERE ; Province de Bujumbura/Burundi </w:t>
      </w:r>
      <w:r w:rsidRPr="006C1F9F">
        <w:rPr>
          <w:rFonts w:ascii="Rockwell" w:hAnsi="Rockwell" w:cs="Arial"/>
        </w:rPr>
        <w:t>; Immeuble des Projets/Programmes financés par le FIDA au Burundi ; 1</w:t>
      </w:r>
      <w:r w:rsidRPr="006C1F9F">
        <w:rPr>
          <w:rFonts w:ascii="Rockwell" w:hAnsi="Rockwell" w:cs="Arial"/>
          <w:vertAlign w:val="superscript"/>
        </w:rPr>
        <w:t xml:space="preserve">èr </w:t>
      </w:r>
      <w:r w:rsidRPr="006C1F9F">
        <w:rPr>
          <w:rFonts w:ascii="Rockwell" w:hAnsi="Rockwell" w:cs="Arial"/>
        </w:rPr>
        <w:t>étage, Tél :</w:t>
      </w:r>
      <w:r w:rsidRPr="006C1F9F">
        <w:rPr>
          <w:rFonts w:ascii="Rockwell" w:hAnsi="Rockwell"/>
        </w:rPr>
        <w:t xml:space="preserve"> </w:t>
      </w:r>
      <w:bookmarkEnd w:id="4"/>
      <w:r w:rsidRPr="006C1F9F">
        <w:rPr>
          <w:rFonts w:ascii="Rockwell" w:hAnsi="Rockwell" w:cs="Arial"/>
        </w:rPr>
        <w:t>+257 22 21 12 00</w:t>
      </w:r>
    </w:p>
    <w:p w14:paraId="0914AC35" w14:textId="5DD0BD97" w:rsidR="00303C1B" w:rsidRPr="006C1F9F" w:rsidRDefault="00303C1B" w:rsidP="00303C1B">
      <w:pPr>
        <w:pStyle w:val="ListParagraph"/>
        <w:numPr>
          <w:ilvl w:val="0"/>
          <w:numId w:val="2"/>
        </w:numPr>
        <w:tabs>
          <w:tab w:val="left" w:pos="0"/>
        </w:tabs>
        <w:spacing w:before="240" w:after="0" w:line="240" w:lineRule="exact"/>
        <w:contextualSpacing w:val="0"/>
        <w:jc w:val="both"/>
        <w:rPr>
          <w:rFonts w:ascii="Rockwell" w:hAnsi="Rockwell"/>
          <w:bCs/>
          <w:iCs/>
        </w:rPr>
      </w:pPr>
      <w:bookmarkStart w:id="5" w:name="_Hlk200056315"/>
      <w:bookmarkEnd w:id="3"/>
      <w:r w:rsidRPr="006C1F9F">
        <w:rPr>
          <w:rFonts w:ascii="Rockwell" w:hAnsi="Rockwell"/>
        </w:rPr>
        <w:t>Les offres seront ouvertes en présence des soumissionnaires qui souhaitent être présents à l’ouverture ou de leurs représentants dans la salle des réunions situées au 1</w:t>
      </w:r>
      <w:r w:rsidRPr="006C1F9F">
        <w:rPr>
          <w:rFonts w:ascii="Rockwell" w:hAnsi="Rockwell"/>
          <w:vertAlign w:val="superscript"/>
        </w:rPr>
        <w:t>er</w:t>
      </w:r>
      <w:r w:rsidRPr="006C1F9F">
        <w:rPr>
          <w:rFonts w:ascii="Rockwell" w:hAnsi="Rockwell"/>
        </w:rPr>
        <w:t xml:space="preserve"> étage de l’Immeuble des Projets financés par le FIDA au Burundi, le </w:t>
      </w:r>
      <w:r w:rsidR="00C70E75">
        <w:rPr>
          <w:rFonts w:ascii="Rockwell" w:hAnsi="Rockwell"/>
        </w:rPr>
        <w:t>20</w:t>
      </w:r>
      <w:r w:rsidRPr="006C1F9F">
        <w:rPr>
          <w:rFonts w:ascii="Rockwell" w:hAnsi="Rockwell"/>
        </w:rPr>
        <w:t>/</w:t>
      </w:r>
      <w:r w:rsidR="00C70E75">
        <w:rPr>
          <w:rFonts w:ascii="Rockwell" w:hAnsi="Rockwell"/>
        </w:rPr>
        <w:t>07</w:t>
      </w:r>
      <w:r w:rsidRPr="006C1F9F">
        <w:rPr>
          <w:rFonts w:ascii="Rockwell" w:hAnsi="Rockwell"/>
        </w:rPr>
        <w:t>/2026 à 10 heures 30 minutes, heures locales (GMT+2).</w:t>
      </w:r>
      <w:bookmarkEnd w:id="5"/>
      <w:r w:rsidRPr="006C1F9F">
        <w:rPr>
          <w:rFonts w:ascii="Rockwell" w:hAnsi="Rockwell"/>
        </w:rPr>
        <w:t xml:space="preserve"> Les soumissions hors délai ne seront en aucun cas acceptées et seront renvoyées sans avoir été ouvertes sur demande écrite et aux frais du soumissionnaire. </w:t>
      </w:r>
    </w:p>
    <w:p w14:paraId="791F2153" w14:textId="77777777" w:rsidR="00303C1B" w:rsidRPr="006C1F9F" w:rsidRDefault="00303C1B" w:rsidP="00303C1B">
      <w:pPr>
        <w:pStyle w:val="ListParagraph"/>
        <w:numPr>
          <w:ilvl w:val="0"/>
          <w:numId w:val="2"/>
        </w:numPr>
        <w:tabs>
          <w:tab w:val="left" w:pos="0"/>
        </w:tabs>
        <w:spacing w:before="240" w:after="0" w:line="240" w:lineRule="exact"/>
        <w:contextualSpacing w:val="0"/>
        <w:jc w:val="both"/>
        <w:rPr>
          <w:rFonts w:ascii="Rockwell" w:hAnsi="Rockwell"/>
          <w:b/>
          <w:bCs/>
          <w:iCs/>
        </w:rPr>
      </w:pPr>
      <w:r w:rsidRPr="006C1F9F">
        <w:rPr>
          <w:rFonts w:ascii="Rockwell" w:hAnsi="Rockwell"/>
        </w:rPr>
        <w:t xml:space="preserve">Toutes les offres devront être accompagnées d’une </w:t>
      </w:r>
      <w:r w:rsidRPr="006C1F9F">
        <w:rPr>
          <w:rFonts w:ascii="Rockwell" w:hAnsi="Rockwell"/>
          <w:b/>
          <w:bCs/>
          <w:u w:val="single"/>
        </w:rPr>
        <w:t xml:space="preserve">garantie de soumission </w:t>
      </w:r>
      <w:r w:rsidRPr="006C1F9F">
        <w:rPr>
          <w:rFonts w:ascii="Rockwell" w:hAnsi="Rockwell"/>
        </w:rPr>
        <w:t xml:space="preserve">d’un montant de : </w:t>
      </w:r>
    </w:p>
    <w:p w14:paraId="3A4E7692" w14:textId="77777777" w:rsidR="00303C1B" w:rsidRPr="006C1F9F" w:rsidRDefault="00303C1B" w:rsidP="00303C1B">
      <w:pPr>
        <w:pStyle w:val="ListParagraph"/>
        <w:numPr>
          <w:ilvl w:val="0"/>
          <w:numId w:val="4"/>
        </w:numPr>
        <w:tabs>
          <w:tab w:val="left" w:pos="0"/>
        </w:tabs>
        <w:spacing w:after="0" w:line="240" w:lineRule="exact"/>
        <w:contextualSpacing w:val="0"/>
        <w:jc w:val="both"/>
        <w:rPr>
          <w:rFonts w:ascii="Rockwell" w:hAnsi="Rockwell"/>
          <w:iCs/>
        </w:rPr>
      </w:pPr>
      <w:r w:rsidRPr="006C1F9F">
        <w:rPr>
          <w:rFonts w:ascii="Rockwell" w:hAnsi="Rockwell"/>
          <w:b/>
          <w:bCs/>
        </w:rPr>
        <w:t>Lot 1 </w:t>
      </w:r>
      <w:r w:rsidRPr="006C1F9F">
        <w:rPr>
          <w:rFonts w:ascii="Rockwell" w:hAnsi="Rockwell"/>
        </w:rPr>
        <w:t xml:space="preserve">: Quatre millions de francs burundais (BIF 4 000 000) ou mille trois cent cinquante de dollars américains (USD 1 350) ; </w:t>
      </w:r>
    </w:p>
    <w:p w14:paraId="6F279DF8" w14:textId="77777777" w:rsidR="00303C1B" w:rsidRPr="006C1F9F" w:rsidRDefault="00303C1B" w:rsidP="00303C1B">
      <w:pPr>
        <w:pStyle w:val="ListParagraph"/>
        <w:numPr>
          <w:ilvl w:val="0"/>
          <w:numId w:val="4"/>
        </w:numPr>
        <w:tabs>
          <w:tab w:val="left" w:pos="0"/>
        </w:tabs>
        <w:spacing w:after="0" w:line="240" w:lineRule="exact"/>
        <w:contextualSpacing w:val="0"/>
        <w:jc w:val="both"/>
        <w:rPr>
          <w:rFonts w:ascii="Rockwell" w:hAnsi="Rockwell"/>
          <w:iCs/>
        </w:rPr>
      </w:pPr>
      <w:r w:rsidRPr="006C1F9F">
        <w:rPr>
          <w:rFonts w:ascii="Rockwell" w:hAnsi="Rockwell"/>
        </w:rPr>
        <w:t xml:space="preserve"> </w:t>
      </w:r>
      <w:r w:rsidRPr="006C1F9F">
        <w:rPr>
          <w:rFonts w:ascii="Rockwell" w:hAnsi="Rockwell"/>
          <w:b/>
          <w:bCs/>
        </w:rPr>
        <w:t>Lot 2 </w:t>
      </w:r>
      <w:r w:rsidRPr="006C1F9F">
        <w:rPr>
          <w:rFonts w:ascii="Rockwell" w:hAnsi="Rockwell"/>
        </w:rPr>
        <w:t xml:space="preserve">: Cinq millions cinq cent mille de francs burundais (BIF 5 500 000) ou mille huit cent de dollars américains (USD 1 800). </w:t>
      </w:r>
    </w:p>
    <w:p w14:paraId="5DE4389D" w14:textId="77777777" w:rsidR="00303C1B" w:rsidRPr="006C1F9F" w:rsidRDefault="00303C1B" w:rsidP="00303C1B">
      <w:pPr>
        <w:numPr>
          <w:ilvl w:val="0"/>
          <w:numId w:val="2"/>
        </w:numPr>
        <w:spacing w:before="120" w:after="120" w:line="240" w:lineRule="auto"/>
        <w:jc w:val="both"/>
        <w:rPr>
          <w:rFonts w:ascii="Rockwell" w:eastAsia="Times New Roman" w:hAnsi="Rockwell" w:cs="Times New Roman"/>
          <w:kern w:val="0"/>
          <w14:ligatures w14:val="none"/>
        </w:rPr>
      </w:pPr>
      <w:r w:rsidRPr="006C1F9F">
        <w:rPr>
          <w:rFonts w:ascii="Rockwell" w:eastAsia="Times New Roman" w:hAnsi="Rockwell" w:cs="Times New Roman"/>
          <w:kern w:val="0"/>
          <w14:ligatures w14:val="none"/>
        </w:rPr>
        <w:t>La monnaie de soumission est le dollar américain (US$), le francs burundais (BIF) ou l’Euros (€).</w:t>
      </w:r>
    </w:p>
    <w:p w14:paraId="175CD340" w14:textId="77777777" w:rsidR="00303C1B" w:rsidRPr="006C1F9F" w:rsidRDefault="00303C1B" w:rsidP="00303C1B">
      <w:pPr>
        <w:numPr>
          <w:ilvl w:val="0"/>
          <w:numId w:val="2"/>
        </w:numPr>
        <w:spacing w:before="120" w:after="120" w:line="240" w:lineRule="auto"/>
        <w:jc w:val="both"/>
        <w:rPr>
          <w:rFonts w:ascii="Rockwell" w:eastAsia="Times New Roman" w:hAnsi="Rockwell" w:cs="Times New Roman"/>
          <w:kern w:val="0"/>
          <w14:ligatures w14:val="none"/>
        </w:rPr>
      </w:pPr>
      <w:r w:rsidRPr="006C1F9F">
        <w:rPr>
          <w:rFonts w:ascii="Rockwell" w:eastAsia="Times New Roman" w:hAnsi="Rockwell" w:cs="Times New Roman"/>
          <w:kern w:val="0"/>
          <w14:ligatures w14:val="none"/>
        </w:rPr>
        <w:t xml:space="preserve">Les kits doivent être livrés dans un délai maximum de </w:t>
      </w:r>
      <w:r w:rsidRPr="006C1F9F">
        <w:rPr>
          <w:rFonts w:ascii="Rockwell" w:eastAsia="Times New Roman" w:hAnsi="Rockwell" w:cs="Times New Roman"/>
          <w:b/>
          <w:bCs/>
          <w:kern w:val="0"/>
          <w14:ligatures w14:val="none"/>
        </w:rPr>
        <w:t xml:space="preserve">soixante (60) jours calendaires </w:t>
      </w:r>
      <w:r w:rsidRPr="006C1F9F">
        <w:rPr>
          <w:rFonts w:ascii="Rockwell" w:eastAsia="Times New Roman" w:hAnsi="Rockwell" w:cs="Times New Roman"/>
          <w:kern w:val="0"/>
          <w14:ligatures w14:val="none"/>
        </w:rPr>
        <w:t xml:space="preserve">à compter de la date de réception de la lettre de marché dûment signée par les deux parties. </w:t>
      </w:r>
    </w:p>
    <w:p w14:paraId="5F210D86" w14:textId="77777777" w:rsidR="00303C1B" w:rsidRPr="006C1F9F" w:rsidRDefault="00303C1B" w:rsidP="00303C1B">
      <w:pPr>
        <w:spacing w:before="120" w:after="120"/>
        <w:jc w:val="both"/>
        <w:rPr>
          <w:rFonts w:ascii="Rockwell" w:hAnsi="Rockwell"/>
        </w:rPr>
      </w:pPr>
      <w:r w:rsidRPr="006C1F9F">
        <w:rPr>
          <w:rFonts w:ascii="Rockwell" w:hAnsi="Rockwell"/>
        </w:rPr>
        <w:t xml:space="preserve">Veuillez noter que les offres électroniques </w:t>
      </w:r>
      <w:r w:rsidRPr="006C1F9F">
        <w:rPr>
          <w:rFonts w:ascii="Rockwell" w:hAnsi="Rockwell"/>
          <w:b/>
          <w:i/>
          <w:iCs/>
        </w:rPr>
        <w:t>ne sont pas</w:t>
      </w:r>
      <w:r w:rsidRPr="006C1F9F">
        <w:rPr>
          <w:rFonts w:ascii="Rockwell" w:hAnsi="Rockwell"/>
          <w:b/>
        </w:rPr>
        <w:t xml:space="preserve"> acceptées</w:t>
      </w:r>
      <w:r w:rsidRPr="006C1F9F">
        <w:rPr>
          <w:rFonts w:ascii="Rockwell" w:hAnsi="Rockwell"/>
        </w:rPr>
        <w:t>, comme indiqué dans la clause 25 des instructions à l’intention des soumissionnaires.</w:t>
      </w:r>
    </w:p>
    <w:p w14:paraId="1210AE44" w14:textId="77777777" w:rsidR="00303C1B" w:rsidRPr="006C1F9F" w:rsidRDefault="00303C1B" w:rsidP="00303C1B">
      <w:pPr>
        <w:tabs>
          <w:tab w:val="left" w:pos="0"/>
        </w:tabs>
        <w:spacing w:before="240" w:line="240" w:lineRule="exact"/>
        <w:jc w:val="both"/>
        <w:rPr>
          <w:rFonts w:ascii="Rockwell" w:hAnsi="Rockwell"/>
        </w:rPr>
      </w:pPr>
      <w:r w:rsidRPr="006C1F9F">
        <w:rPr>
          <w:rFonts w:ascii="Rockwell" w:hAnsi="Rockwell"/>
        </w:rPr>
        <w:t>Veuillez agréer, Madame, Monsieur, l’expression de nos salutations distinguées.</w:t>
      </w:r>
    </w:p>
    <w:p w14:paraId="24FA1F5A" w14:textId="77777777" w:rsidR="00303C1B" w:rsidRPr="006C1F9F" w:rsidRDefault="00303C1B" w:rsidP="00303C1B">
      <w:pPr>
        <w:tabs>
          <w:tab w:val="left" w:pos="0"/>
        </w:tabs>
        <w:spacing w:before="240" w:line="240" w:lineRule="exact"/>
        <w:jc w:val="both"/>
        <w:rPr>
          <w:rFonts w:ascii="Rockwell" w:hAnsi="Rockwell"/>
          <w:bCs/>
          <w:iCs/>
          <w:color w:val="FF0000"/>
        </w:rPr>
      </w:pPr>
    </w:p>
    <w:p w14:paraId="2A917F76" w14:textId="6118F7CC" w:rsidR="00303C1B" w:rsidRPr="006C1F9F" w:rsidRDefault="00303C1B" w:rsidP="00303C1B">
      <w:pPr>
        <w:pStyle w:val="ListParagraph"/>
        <w:jc w:val="both"/>
        <w:rPr>
          <w:rFonts w:ascii="Rockwell" w:hAnsi="Rockwell"/>
          <w:b/>
          <w:bCs/>
          <w:lang w:eastAsia="fr-FR"/>
        </w:rPr>
      </w:pPr>
      <w:r w:rsidRPr="006C1F9F">
        <w:rPr>
          <w:rFonts w:ascii="Rockwell" w:hAnsi="Rockwell"/>
          <w:lang w:eastAsia="fr-FR"/>
        </w:rPr>
        <w:tab/>
      </w:r>
      <w:r w:rsidRPr="006C1F9F">
        <w:rPr>
          <w:rFonts w:ascii="Rockwell" w:hAnsi="Rockwell"/>
          <w:lang w:eastAsia="fr-FR"/>
        </w:rPr>
        <w:tab/>
      </w:r>
      <w:r w:rsidRPr="006C1F9F">
        <w:rPr>
          <w:rFonts w:ascii="Rockwell" w:hAnsi="Rockwell"/>
          <w:lang w:eastAsia="fr-FR"/>
        </w:rPr>
        <w:tab/>
      </w:r>
      <w:r w:rsidRPr="006C1F9F">
        <w:rPr>
          <w:rFonts w:ascii="Rockwell" w:hAnsi="Rockwell"/>
          <w:lang w:eastAsia="fr-FR"/>
        </w:rPr>
        <w:tab/>
      </w:r>
      <w:r w:rsidRPr="006C1F9F">
        <w:rPr>
          <w:rFonts w:ascii="Rockwell" w:hAnsi="Rockwell"/>
          <w:lang w:eastAsia="fr-FR"/>
        </w:rPr>
        <w:tab/>
      </w:r>
      <w:r w:rsidRPr="006C1F9F">
        <w:rPr>
          <w:rFonts w:ascii="Rockwell" w:hAnsi="Rockwell"/>
          <w:lang w:eastAsia="fr-FR"/>
        </w:rPr>
        <w:tab/>
      </w:r>
      <w:r w:rsidRPr="006C1F9F">
        <w:rPr>
          <w:rFonts w:ascii="Rockwell" w:hAnsi="Rockwell"/>
          <w:lang w:eastAsia="fr-FR"/>
        </w:rPr>
        <w:tab/>
      </w:r>
      <w:r w:rsidRPr="006C1F9F">
        <w:rPr>
          <w:rFonts w:ascii="Rockwell" w:hAnsi="Rockwell"/>
          <w:b/>
          <w:bCs/>
          <w:lang w:eastAsia="fr-FR"/>
        </w:rPr>
        <w:t>Côme NTIRANYIBAGIRA</w:t>
      </w:r>
    </w:p>
    <w:p w14:paraId="2AD39B73" w14:textId="77777777" w:rsidR="00303C1B" w:rsidRPr="006C1F9F" w:rsidRDefault="00303C1B" w:rsidP="00303C1B">
      <w:pPr>
        <w:pStyle w:val="ListParagraph"/>
        <w:jc w:val="both"/>
        <w:rPr>
          <w:rFonts w:ascii="Rockwell" w:hAnsi="Rockwell"/>
          <w:b/>
          <w:bCs/>
          <w:lang w:eastAsia="fr-FR"/>
        </w:rPr>
      </w:pPr>
    </w:p>
    <w:p w14:paraId="12FF4C7E" w14:textId="15E74167" w:rsidR="00303C1B" w:rsidRPr="006C1F9F" w:rsidRDefault="00303C1B" w:rsidP="00303C1B">
      <w:pPr>
        <w:pStyle w:val="ListParagraph"/>
        <w:jc w:val="both"/>
        <w:rPr>
          <w:rFonts w:ascii="Rockwell" w:hAnsi="Rockwell"/>
          <w:b/>
          <w:bCs/>
          <w:lang w:eastAsia="fr-FR"/>
        </w:rPr>
      </w:pPr>
      <w:r w:rsidRPr="006C1F9F">
        <w:rPr>
          <w:rFonts w:ascii="Rockwell" w:hAnsi="Rockwell"/>
          <w:b/>
          <w:bCs/>
          <w:lang w:eastAsia="fr-FR"/>
        </w:rPr>
        <w:tab/>
      </w:r>
      <w:r w:rsidRPr="006C1F9F">
        <w:rPr>
          <w:rFonts w:ascii="Rockwell" w:hAnsi="Rockwell"/>
          <w:b/>
          <w:bCs/>
          <w:lang w:eastAsia="fr-FR"/>
        </w:rPr>
        <w:tab/>
      </w:r>
      <w:r w:rsidRPr="006C1F9F">
        <w:rPr>
          <w:rFonts w:ascii="Rockwell" w:hAnsi="Rockwell"/>
          <w:b/>
          <w:bCs/>
          <w:lang w:eastAsia="fr-FR"/>
        </w:rPr>
        <w:tab/>
      </w:r>
      <w:r w:rsidRPr="006C1F9F">
        <w:rPr>
          <w:rFonts w:ascii="Rockwell" w:hAnsi="Rockwell"/>
          <w:b/>
          <w:bCs/>
          <w:lang w:eastAsia="fr-FR"/>
        </w:rPr>
        <w:tab/>
      </w:r>
      <w:r w:rsidRPr="006C1F9F">
        <w:rPr>
          <w:rFonts w:ascii="Rockwell" w:hAnsi="Rockwell"/>
          <w:b/>
          <w:bCs/>
          <w:lang w:eastAsia="fr-FR"/>
        </w:rPr>
        <w:tab/>
      </w:r>
      <w:r w:rsidRPr="006C1F9F">
        <w:rPr>
          <w:rFonts w:ascii="Rockwell" w:hAnsi="Rockwell"/>
          <w:b/>
          <w:bCs/>
          <w:lang w:eastAsia="fr-FR"/>
        </w:rPr>
        <w:tab/>
      </w:r>
      <w:r w:rsidRPr="006C1F9F">
        <w:rPr>
          <w:rFonts w:ascii="Rockwell" w:hAnsi="Rockwell"/>
          <w:b/>
          <w:bCs/>
          <w:lang w:eastAsia="fr-FR"/>
        </w:rPr>
        <w:tab/>
        <w:t>Coordonnateur du PRODER</w:t>
      </w:r>
    </w:p>
    <w:p w14:paraId="0DCC3EC2" w14:textId="77777777" w:rsidR="00D0008E" w:rsidRPr="006C1F9F" w:rsidRDefault="00D0008E" w:rsidP="00303C1B">
      <w:pPr>
        <w:pStyle w:val="ListParagraph"/>
        <w:jc w:val="both"/>
        <w:rPr>
          <w:rFonts w:ascii="Rockwell" w:hAnsi="Rockwell"/>
          <w:b/>
          <w:bCs/>
          <w:lang w:eastAsia="fr-FR"/>
        </w:rPr>
      </w:pPr>
    </w:p>
    <w:p w14:paraId="6F90425C" w14:textId="77777777" w:rsidR="00D0008E" w:rsidRPr="006C1F9F" w:rsidRDefault="00D0008E" w:rsidP="00303C1B">
      <w:pPr>
        <w:pStyle w:val="ListParagraph"/>
        <w:jc w:val="both"/>
        <w:rPr>
          <w:rFonts w:ascii="Rockwell" w:hAnsi="Rockwell"/>
          <w:b/>
          <w:bCs/>
          <w:lang w:eastAsia="fr-FR"/>
        </w:rPr>
        <w:sectPr w:rsidR="00D0008E" w:rsidRPr="006C1F9F">
          <w:pgSz w:w="11906" w:h="16838"/>
          <w:pgMar w:top="1417" w:right="1417" w:bottom="1417" w:left="1417" w:header="708" w:footer="708" w:gutter="0"/>
          <w:cols w:space="708"/>
          <w:docGrid w:linePitch="360"/>
        </w:sectPr>
      </w:pPr>
    </w:p>
    <w:p w14:paraId="0615060F" w14:textId="77777777" w:rsidR="00D0008E" w:rsidRPr="006C1F9F" w:rsidRDefault="00D0008E" w:rsidP="00D0008E">
      <w:pPr>
        <w:spacing w:line="240" w:lineRule="auto"/>
        <w:jc w:val="center"/>
        <w:rPr>
          <w:rFonts w:ascii="Rockwell" w:eastAsia="Times New Roman" w:hAnsi="Rockwell"/>
          <w:b/>
          <w:kern w:val="0"/>
          <w14:ligatures w14:val="none"/>
        </w:rPr>
      </w:pPr>
      <w:bookmarkStart w:id="6" w:name="_Toc324711734"/>
      <w:bookmarkStart w:id="7" w:name="_Toc463531774"/>
      <w:bookmarkStart w:id="8" w:name="_Toc464136368"/>
      <w:bookmarkStart w:id="9" w:name="_Toc464136499"/>
      <w:bookmarkStart w:id="10" w:name="_Toc464139709"/>
      <w:bookmarkStart w:id="11" w:name="_Toc489012994"/>
      <w:bookmarkStart w:id="12" w:name="_Toc491425141"/>
      <w:bookmarkStart w:id="13" w:name="_Toc491868997"/>
      <w:bookmarkStart w:id="14" w:name="_Toc491869121"/>
      <w:bookmarkStart w:id="15" w:name="_Toc509994364"/>
      <w:bookmarkStart w:id="16" w:name="_Toc509994778"/>
      <w:bookmarkStart w:id="17" w:name="_Toc28861416"/>
      <w:r w:rsidRPr="006C1F9F">
        <w:rPr>
          <w:rFonts w:ascii="Rockwell" w:eastAsia="Times New Roman" w:hAnsi="Rockwell" w:cs="Times New Roman"/>
          <w:b/>
          <w:kern w:val="0"/>
          <w14:ligatures w14:val="none"/>
        </w:rPr>
        <w:lastRenderedPageBreak/>
        <w:t>SR3 Spécifications techniques</w:t>
      </w:r>
      <w:bookmarkEnd w:id="6"/>
      <w:bookmarkEnd w:id="7"/>
      <w:bookmarkEnd w:id="8"/>
      <w:bookmarkEnd w:id="9"/>
      <w:bookmarkEnd w:id="10"/>
      <w:bookmarkEnd w:id="11"/>
      <w:bookmarkEnd w:id="12"/>
      <w:bookmarkEnd w:id="13"/>
      <w:bookmarkEnd w:id="14"/>
      <w:bookmarkEnd w:id="15"/>
      <w:bookmarkEnd w:id="16"/>
      <w:bookmarkEnd w:id="17"/>
    </w:p>
    <w:p w14:paraId="6F962D96" w14:textId="77777777" w:rsidR="00D0008E" w:rsidRPr="006C1F9F" w:rsidRDefault="00D0008E" w:rsidP="00D0008E">
      <w:pPr>
        <w:widowControl w:val="0"/>
        <w:tabs>
          <w:tab w:val="left" w:pos="0"/>
        </w:tabs>
        <w:autoSpaceDE w:val="0"/>
        <w:autoSpaceDN w:val="0"/>
        <w:spacing w:before="240" w:line="240" w:lineRule="auto"/>
        <w:jc w:val="both"/>
        <w:rPr>
          <w:rFonts w:ascii="Rockwell" w:hAnsi="Rockwell"/>
        </w:rPr>
      </w:pPr>
      <w:r w:rsidRPr="006C1F9F">
        <w:rPr>
          <w:rFonts w:ascii="Rockwell" w:hAnsi="Rockwell"/>
          <w:b/>
          <w:bCs/>
        </w:rPr>
        <w:t>Récapitulatif des spécifications techniques.</w:t>
      </w:r>
      <w:r w:rsidRPr="006C1F9F">
        <w:rPr>
          <w:rFonts w:ascii="Rockwell" w:hAnsi="Rockwell"/>
        </w:rPr>
        <w:t xml:space="preserve"> </w:t>
      </w:r>
    </w:p>
    <w:p w14:paraId="6F5FBFE9" w14:textId="77777777" w:rsidR="00D0008E" w:rsidRPr="006C1F9F" w:rsidRDefault="00D0008E" w:rsidP="00D0008E">
      <w:pPr>
        <w:spacing w:after="0" w:line="240" w:lineRule="auto"/>
        <w:jc w:val="both"/>
        <w:rPr>
          <w:rFonts w:ascii="Rockwell" w:eastAsia="Times New Roman" w:hAnsi="Rockwell" w:cs="Times New Roman"/>
          <w:kern w:val="0"/>
          <w14:ligatures w14:val="none"/>
        </w:rPr>
      </w:pPr>
      <w:r w:rsidRPr="006C1F9F">
        <w:rPr>
          <w:rFonts w:ascii="Rockwell" w:eastAsia="Times New Roman" w:hAnsi="Rockwell" w:cs="Times New Roman"/>
          <w:kern w:val="0"/>
          <w14:ligatures w14:val="none"/>
        </w:rPr>
        <w:t>La fourniture des biens et services connexes devra être conforme aux normes et spécifications techniques ci-après :</w:t>
      </w:r>
    </w:p>
    <w:p w14:paraId="4752478E" w14:textId="77777777" w:rsidR="00D0008E" w:rsidRPr="006C1F9F" w:rsidRDefault="00D0008E" w:rsidP="00D0008E">
      <w:pPr>
        <w:spacing w:after="0" w:line="240" w:lineRule="auto"/>
        <w:jc w:val="both"/>
        <w:rPr>
          <w:rFonts w:ascii="Rockwell" w:eastAsia="Times New Roman" w:hAnsi="Rockwell" w:cs="Times New Roman"/>
          <w:kern w:val="0"/>
          <w:highlight w:val="yellow"/>
          <w14:ligatures w14:val="none"/>
        </w:rPr>
      </w:pPr>
    </w:p>
    <w:p w14:paraId="3A8FDA71" w14:textId="77777777" w:rsidR="00D0008E" w:rsidRPr="006C1F9F" w:rsidRDefault="00D0008E" w:rsidP="00D0008E">
      <w:pPr>
        <w:pStyle w:val="BodyText"/>
        <w:spacing w:after="0"/>
        <w:rPr>
          <w:rFonts w:ascii="Rockwell" w:hAnsi="Rockwell"/>
          <w:b/>
          <w:bCs/>
          <w:i/>
          <w:sz w:val="22"/>
          <w:szCs w:val="22"/>
        </w:rPr>
      </w:pPr>
      <w:r w:rsidRPr="006C1F9F">
        <w:rPr>
          <w:rFonts w:ascii="Rockwell" w:hAnsi="Rockwell"/>
          <w:b/>
          <w:bCs/>
          <w:i/>
          <w:sz w:val="22"/>
          <w:szCs w:val="22"/>
        </w:rPr>
        <w:t xml:space="preserve">Lot 1 : Produits et matériel à usage vétérinaire </w:t>
      </w:r>
    </w:p>
    <w:tbl>
      <w:tblPr>
        <w:tblStyle w:val="TableGrid"/>
        <w:tblW w:w="5000" w:type="pct"/>
        <w:tblLook w:val="04A0" w:firstRow="1" w:lastRow="0" w:firstColumn="1" w:lastColumn="0" w:noHBand="0" w:noVBand="1"/>
      </w:tblPr>
      <w:tblGrid>
        <w:gridCol w:w="2413"/>
        <w:gridCol w:w="5371"/>
        <w:gridCol w:w="2012"/>
        <w:gridCol w:w="2821"/>
        <w:gridCol w:w="1377"/>
      </w:tblGrid>
      <w:tr w:rsidR="00D0008E" w:rsidRPr="006C1F9F" w14:paraId="212689D3" w14:textId="77777777" w:rsidTr="007967CE">
        <w:trPr>
          <w:trHeight w:val="20"/>
          <w:tblHeader/>
        </w:trPr>
        <w:tc>
          <w:tcPr>
            <w:tcW w:w="862" w:type="pct"/>
            <w:shd w:val="clear" w:color="auto" w:fill="D9D9D9" w:themeFill="background1" w:themeFillShade="D9"/>
            <w:vAlign w:val="center"/>
          </w:tcPr>
          <w:p w14:paraId="3BBC024F" w14:textId="77777777" w:rsidR="00D0008E" w:rsidRPr="006C1F9F" w:rsidRDefault="00D0008E" w:rsidP="007967CE">
            <w:pPr>
              <w:pStyle w:val="BodyText"/>
              <w:jc w:val="both"/>
              <w:rPr>
                <w:rFonts w:ascii="Rockwell" w:hAnsi="Rockwell"/>
                <w:b/>
                <w:bCs/>
                <w:sz w:val="22"/>
                <w:szCs w:val="22"/>
              </w:rPr>
            </w:pPr>
            <w:r w:rsidRPr="006C1F9F">
              <w:rPr>
                <w:rFonts w:ascii="Rockwell" w:hAnsi="Rockwell"/>
                <w:b/>
                <w:bCs/>
                <w:color w:val="000000"/>
                <w:sz w:val="22"/>
                <w:szCs w:val="22"/>
                <w:lang w:eastAsia="fr-FR"/>
              </w:rPr>
              <w:t>Produit/Matériel</w:t>
            </w:r>
          </w:p>
        </w:tc>
        <w:tc>
          <w:tcPr>
            <w:tcW w:w="1919" w:type="pct"/>
            <w:shd w:val="clear" w:color="auto" w:fill="D9D9D9" w:themeFill="background1" w:themeFillShade="D9"/>
            <w:vAlign w:val="center"/>
          </w:tcPr>
          <w:p w14:paraId="36B161B3" w14:textId="77777777" w:rsidR="00D0008E" w:rsidRPr="006C1F9F" w:rsidRDefault="00D0008E" w:rsidP="007967CE">
            <w:pPr>
              <w:pStyle w:val="BodyText"/>
              <w:jc w:val="both"/>
              <w:rPr>
                <w:rFonts w:ascii="Rockwell" w:hAnsi="Rockwell"/>
                <w:b/>
                <w:bCs/>
                <w:sz w:val="22"/>
                <w:szCs w:val="22"/>
              </w:rPr>
            </w:pPr>
            <w:r w:rsidRPr="006C1F9F">
              <w:rPr>
                <w:rFonts w:ascii="Rockwell" w:hAnsi="Rockwell"/>
                <w:b/>
                <w:bCs/>
                <w:color w:val="000000"/>
                <w:sz w:val="22"/>
                <w:szCs w:val="22"/>
                <w:lang w:eastAsia="fr-FR"/>
              </w:rPr>
              <w:t>Spécifications techniques exigées dans le DAO</w:t>
            </w:r>
          </w:p>
        </w:tc>
        <w:tc>
          <w:tcPr>
            <w:tcW w:w="719" w:type="pct"/>
            <w:shd w:val="clear" w:color="auto" w:fill="D9D9D9" w:themeFill="background1" w:themeFillShade="D9"/>
            <w:vAlign w:val="center"/>
          </w:tcPr>
          <w:p w14:paraId="4DFDD111" w14:textId="77777777" w:rsidR="00D0008E" w:rsidRPr="006C1F9F" w:rsidRDefault="00D0008E" w:rsidP="007967CE">
            <w:pPr>
              <w:pStyle w:val="BodyText"/>
              <w:jc w:val="both"/>
              <w:rPr>
                <w:rFonts w:ascii="Rockwell" w:hAnsi="Rockwell"/>
                <w:b/>
                <w:bCs/>
                <w:sz w:val="22"/>
                <w:szCs w:val="22"/>
              </w:rPr>
            </w:pPr>
            <w:r w:rsidRPr="006C1F9F">
              <w:rPr>
                <w:rFonts w:ascii="Rockwell" w:hAnsi="Rockwell"/>
                <w:b/>
                <w:bCs/>
                <w:color w:val="000000"/>
                <w:sz w:val="22"/>
                <w:szCs w:val="22"/>
                <w:lang w:eastAsia="fr-FR"/>
              </w:rPr>
              <w:t>Unité</w:t>
            </w:r>
          </w:p>
        </w:tc>
        <w:tc>
          <w:tcPr>
            <w:tcW w:w="1008" w:type="pct"/>
            <w:shd w:val="clear" w:color="auto" w:fill="D9D9D9" w:themeFill="background1" w:themeFillShade="D9"/>
          </w:tcPr>
          <w:p w14:paraId="1D4A4621" w14:textId="77777777" w:rsidR="00D0008E" w:rsidRPr="006C1F9F" w:rsidRDefault="00D0008E" w:rsidP="007967CE">
            <w:pPr>
              <w:pStyle w:val="BodyText"/>
              <w:jc w:val="both"/>
              <w:rPr>
                <w:rFonts w:ascii="Rockwell" w:hAnsi="Rockwell"/>
                <w:b/>
                <w:bCs/>
                <w:color w:val="000000"/>
                <w:sz w:val="22"/>
                <w:szCs w:val="22"/>
                <w:lang w:eastAsia="fr-FR"/>
              </w:rPr>
            </w:pPr>
            <w:r w:rsidRPr="006C1F9F">
              <w:rPr>
                <w:rFonts w:ascii="Rockwell" w:hAnsi="Rockwell"/>
                <w:b/>
                <w:bCs/>
                <w:color w:val="000000"/>
                <w:sz w:val="22"/>
                <w:szCs w:val="22"/>
                <w:lang w:eastAsia="fr-FR"/>
              </w:rPr>
              <w:t>Spécifications techniques proposées par le soumissionnaire</w:t>
            </w:r>
          </w:p>
        </w:tc>
        <w:tc>
          <w:tcPr>
            <w:tcW w:w="492" w:type="pct"/>
            <w:shd w:val="clear" w:color="auto" w:fill="D9D9D9" w:themeFill="background1" w:themeFillShade="D9"/>
          </w:tcPr>
          <w:p w14:paraId="4571285E" w14:textId="77777777" w:rsidR="00D0008E" w:rsidRPr="006C1F9F" w:rsidRDefault="00D0008E" w:rsidP="007967CE">
            <w:pPr>
              <w:pStyle w:val="BodyText"/>
              <w:jc w:val="both"/>
              <w:rPr>
                <w:rFonts w:ascii="Rockwell" w:hAnsi="Rockwell"/>
                <w:b/>
                <w:bCs/>
                <w:color w:val="000000"/>
                <w:sz w:val="22"/>
                <w:szCs w:val="22"/>
                <w:lang w:eastAsia="fr-FR"/>
              </w:rPr>
            </w:pPr>
            <w:r w:rsidRPr="006C1F9F">
              <w:rPr>
                <w:rFonts w:ascii="Rockwell" w:hAnsi="Rockwell"/>
                <w:b/>
                <w:bCs/>
                <w:color w:val="000000"/>
                <w:sz w:val="22"/>
                <w:szCs w:val="22"/>
                <w:lang w:eastAsia="fr-FR"/>
              </w:rPr>
              <w:t>Unité</w:t>
            </w:r>
          </w:p>
        </w:tc>
      </w:tr>
      <w:tr w:rsidR="00D0008E" w:rsidRPr="006C1F9F" w14:paraId="681F09F5" w14:textId="77777777" w:rsidTr="007967CE">
        <w:trPr>
          <w:trHeight w:val="20"/>
        </w:trPr>
        <w:tc>
          <w:tcPr>
            <w:tcW w:w="2781" w:type="pct"/>
            <w:gridSpan w:val="2"/>
            <w:vAlign w:val="center"/>
          </w:tcPr>
          <w:p w14:paraId="5E8217CD" w14:textId="77777777" w:rsidR="00D0008E" w:rsidRPr="006C1F9F" w:rsidRDefault="00D0008E" w:rsidP="007967CE">
            <w:pPr>
              <w:jc w:val="both"/>
              <w:rPr>
                <w:rFonts w:ascii="Rockwell" w:hAnsi="Rockwell"/>
                <w:b/>
                <w:bCs/>
                <w:color w:val="000000"/>
                <w:sz w:val="22"/>
                <w:szCs w:val="22"/>
              </w:rPr>
            </w:pPr>
            <w:r w:rsidRPr="006C1F9F">
              <w:rPr>
                <w:rFonts w:ascii="Rockwell" w:hAnsi="Rockwell"/>
                <w:b/>
                <w:bCs/>
                <w:color w:val="000000"/>
                <w:sz w:val="22"/>
                <w:szCs w:val="22"/>
              </w:rPr>
              <w:t>Blocs à lécher pour bovins</w:t>
            </w:r>
          </w:p>
        </w:tc>
        <w:tc>
          <w:tcPr>
            <w:tcW w:w="719" w:type="pct"/>
          </w:tcPr>
          <w:p w14:paraId="3FD7FD7F" w14:textId="77777777" w:rsidR="00D0008E" w:rsidRPr="006C1F9F" w:rsidRDefault="00D0008E" w:rsidP="007967CE">
            <w:pPr>
              <w:pStyle w:val="BodyText"/>
              <w:jc w:val="both"/>
              <w:rPr>
                <w:rFonts w:ascii="Rockwell" w:hAnsi="Rockwell"/>
                <w:sz w:val="22"/>
                <w:szCs w:val="22"/>
              </w:rPr>
            </w:pPr>
          </w:p>
        </w:tc>
        <w:tc>
          <w:tcPr>
            <w:tcW w:w="1008" w:type="pct"/>
          </w:tcPr>
          <w:p w14:paraId="5C24CBCC" w14:textId="77777777" w:rsidR="00D0008E" w:rsidRPr="006C1F9F" w:rsidRDefault="00D0008E" w:rsidP="007967CE">
            <w:pPr>
              <w:pStyle w:val="BodyText"/>
              <w:jc w:val="both"/>
              <w:rPr>
                <w:rFonts w:ascii="Rockwell" w:hAnsi="Rockwell"/>
                <w:sz w:val="22"/>
                <w:szCs w:val="22"/>
              </w:rPr>
            </w:pPr>
          </w:p>
        </w:tc>
        <w:tc>
          <w:tcPr>
            <w:tcW w:w="492" w:type="pct"/>
          </w:tcPr>
          <w:p w14:paraId="0AAB4913" w14:textId="77777777" w:rsidR="00D0008E" w:rsidRPr="006C1F9F" w:rsidRDefault="00D0008E" w:rsidP="007967CE">
            <w:pPr>
              <w:pStyle w:val="BodyText"/>
              <w:jc w:val="both"/>
              <w:rPr>
                <w:rFonts w:ascii="Rockwell" w:hAnsi="Rockwell"/>
                <w:sz w:val="22"/>
                <w:szCs w:val="22"/>
              </w:rPr>
            </w:pPr>
          </w:p>
        </w:tc>
      </w:tr>
      <w:tr w:rsidR="00D0008E" w:rsidRPr="006C1F9F" w14:paraId="74FCD30F" w14:textId="77777777" w:rsidTr="007967CE">
        <w:trPr>
          <w:trHeight w:val="20"/>
        </w:trPr>
        <w:tc>
          <w:tcPr>
            <w:tcW w:w="862" w:type="pct"/>
            <w:vAlign w:val="center"/>
          </w:tcPr>
          <w:p w14:paraId="09CDF4B8" w14:textId="77777777" w:rsidR="00D0008E" w:rsidRPr="006C1F9F" w:rsidRDefault="00D0008E" w:rsidP="007967CE">
            <w:pPr>
              <w:pStyle w:val="BodyText"/>
              <w:jc w:val="both"/>
              <w:rPr>
                <w:rFonts w:ascii="Rockwell" w:hAnsi="Rockwell"/>
                <w:b/>
                <w:bCs/>
                <w:sz w:val="22"/>
                <w:szCs w:val="22"/>
              </w:rPr>
            </w:pPr>
            <w:r w:rsidRPr="006C1F9F">
              <w:rPr>
                <w:rFonts w:ascii="Rockwell" w:hAnsi="Rockwell"/>
                <w:color w:val="000000"/>
                <w:sz w:val="22"/>
                <w:szCs w:val="22"/>
              </w:rPr>
              <w:t>Blocs à lécher</w:t>
            </w:r>
          </w:p>
        </w:tc>
        <w:tc>
          <w:tcPr>
            <w:tcW w:w="1919" w:type="pct"/>
          </w:tcPr>
          <w:p w14:paraId="3D31DBDC" w14:textId="77777777" w:rsidR="00D0008E" w:rsidRPr="006C1F9F" w:rsidRDefault="00D0008E" w:rsidP="007967CE">
            <w:pPr>
              <w:jc w:val="both"/>
              <w:rPr>
                <w:rFonts w:ascii="Rockwell" w:hAnsi="Rockwell"/>
                <w:color w:val="000000"/>
                <w:sz w:val="22"/>
                <w:szCs w:val="22"/>
              </w:rPr>
            </w:pPr>
            <w:r w:rsidRPr="006C1F9F">
              <w:rPr>
                <w:rFonts w:ascii="Rockwell" w:hAnsi="Rockwell"/>
                <w:color w:val="000000"/>
                <w:sz w:val="22"/>
                <w:szCs w:val="22"/>
              </w:rPr>
              <w:t>1) Importés d'Europe</w:t>
            </w:r>
          </w:p>
          <w:p w14:paraId="3CCC566C" w14:textId="77777777" w:rsidR="00D0008E" w:rsidRPr="006C1F9F" w:rsidRDefault="00D0008E" w:rsidP="007967CE">
            <w:pPr>
              <w:jc w:val="both"/>
              <w:rPr>
                <w:rFonts w:ascii="Rockwell" w:hAnsi="Rockwell"/>
                <w:color w:val="000000"/>
                <w:sz w:val="22"/>
                <w:szCs w:val="22"/>
              </w:rPr>
            </w:pPr>
            <w:r w:rsidRPr="006C1F9F">
              <w:rPr>
                <w:rFonts w:ascii="Rockwell" w:hAnsi="Rockwell"/>
                <w:color w:val="000000"/>
                <w:sz w:val="22"/>
                <w:szCs w:val="22"/>
              </w:rPr>
              <w:t>2) Composés de macro et Oligo-éléments essentiels : calcium, phosphore, sodium, magnésium, fer, cobalt, iode, manganèse, zinc et sélénium ;</w:t>
            </w:r>
          </w:p>
          <w:p w14:paraId="061C3C5D" w14:textId="77777777" w:rsidR="00D0008E" w:rsidRPr="006C1F9F" w:rsidRDefault="00D0008E" w:rsidP="007967CE">
            <w:pPr>
              <w:jc w:val="both"/>
              <w:rPr>
                <w:rFonts w:ascii="Rockwell" w:hAnsi="Rockwell"/>
                <w:color w:val="000000"/>
                <w:sz w:val="22"/>
                <w:szCs w:val="22"/>
              </w:rPr>
            </w:pPr>
            <w:r w:rsidRPr="006C1F9F">
              <w:rPr>
                <w:rFonts w:ascii="Rockwell" w:hAnsi="Rockwell"/>
                <w:color w:val="000000"/>
                <w:sz w:val="22"/>
                <w:szCs w:val="22"/>
              </w:rPr>
              <w:t>3) Texture :</w:t>
            </w:r>
          </w:p>
          <w:p w14:paraId="04446812" w14:textId="77777777" w:rsidR="00D0008E" w:rsidRPr="006C1F9F" w:rsidRDefault="00D0008E" w:rsidP="007967CE">
            <w:pPr>
              <w:jc w:val="both"/>
              <w:rPr>
                <w:rFonts w:ascii="Rockwell" w:hAnsi="Rockwell"/>
                <w:sz w:val="22"/>
                <w:szCs w:val="22"/>
              </w:rPr>
            </w:pPr>
            <w:r w:rsidRPr="006C1F9F">
              <w:rPr>
                <w:rFonts w:ascii="Rockwell" w:hAnsi="Rockwell"/>
                <w:color w:val="000000"/>
                <w:sz w:val="22"/>
                <w:szCs w:val="22"/>
              </w:rPr>
              <w:t xml:space="preserve">- Les blocs à lécher ne peuvent pas être croqués par les animaux. En particulier, les blocs doivent présenter </w:t>
            </w:r>
            <w:r w:rsidRPr="006C1F9F">
              <w:rPr>
                <w:rFonts w:ascii="Rockwell" w:hAnsi="Rockwell"/>
                <w:b/>
                <w:sz w:val="22"/>
                <w:szCs w:val="22"/>
              </w:rPr>
              <w:t xml:space="preserve">une bonne dureté </w:t>
            </w:r>
            <w:r w:rsidRPr="006C1F9F">
              <w:rPr>
                <w:rFonts w:ascii="Rockwell" w:hAnsi="Rockwell"/>
                <w:bCs/>
                <w:sz w:val="22"/>
                <w:szCs w:val="22"/>
              </w:rPr>
              <w:t>(</w:t>
            </w:r>
            <w:r w:rsidRPr="006C1F9F">
              <w:rPr>
                <w:rFonts w:ascii="Rockwell" w:hAnsi="Rockwell"/>
                <w:sz w:val="22"/>
                <w:szCs w:val="22"/>
              </w:rPr>
              <w:t>une texture compacte et une grande résistance à la cassure par pression ou en immersion dans l'eau), une bonne cohésion des constituants (résistance à l'effritement lors de la manutention, du transport et du stockage)</w:t>
            </w:r>
          </w:p>
          <w:p w14:paraId="4F593B6D" w14:textId="77777777" w:rsidR="00D0008E" w:rsidRPr="006C1F9F" w:rsidRDefault="00D0008E" w:rsidP="007967CE">
            <w:pPr>
              <w:jc w:val="both"/>
              <w:rPr>
                <w:rFonts w:ascii="Rockwell" w:hAnsi="Rockwell"/>
                <w:sz w:val="22"/>
                <w:szCs w:val="22"/>
              </w:rPr>
            </w:pPr>
            <w:r w:rsidRPr="006C1F9F">
              <w:rPr>
                <w:rFonts w:ascii="Rockwell" w:hAnsi="Rockwell"/>
                <w:sz w:val="22"/>
                <w:szCs w:val="22"/>
              </w:rPr>
              <w:t>-Les blocs à lécher doivent être adaptés pour être suspendus (posséder un trou de fixation en son milieu)</w:t>
            </w:r>
          </w:p>
          <w:p w14:paraId="2D49A9FA" w14:textId="77777777" w:rsidR="00D0008E" w:rsidRPr="006C1F9F" w:rsidRDefault="00D0008E" w:rsidP="007967CE">
            <w:pPr>
              <w:jc w:val="both"/>
              <w:rPr>
                <w:rFonts w:ascii="Rockwell" w:hAnsi="Rockwell"/>
                <w:sz w:val="22"/>
                <w:szCs w:val="22"/>
              </w:rPr>
            </w:pPr>
            <w:r w:rsidRPr="006C1F9F">
              <w:rPr>
                <w:rFonts w:ascii="Rockwell" w:hAnsi="Rockwell"/>
                <w:sz w:val="22"/>
                <w:szCs w:val="22"/>
              </w:rPr>
              <w:t>4) Poids : 5 kg</w:t>
            </w:r>
          </w:p>
          <w:p w14:paraId="7E0AAC71" w14:textId="77777777" w:rsidR="00D0008E" w:rsidRPr="006C1F9F" w:rsidRDefault="00D0008E" w:rsidP="007967CE">
            <w:pPr>
              <w:jc w:val="both"/>
              <w:rPr>
                <w:rFonts w:ascii="Rockwell" w:hAnsi="Rockwell"/>
                <w:sz w:val="22"/>
                <w:szCs w:val="22"/>
              </w:rPr>
            </w:pPr>
            <w:r w:rsidRPr="006C1F9F">
              <w:rPr>
                <w:rFonts w:ascii="Rockwell" w:hAnsi="Rockwell"/>
                <w:sz w:val="22"/>
                <w:szCs w:val="22"/>
              </w:rPr>
              <w:t>5) Emballage : carton étiqueté avec précision sur la date de fabrication et la date de péremption (</w:t>
            </w:r>
            <w:r w:rsidRPr="006C1F9F">
              <w:rPr>
                <w:rFonts w:ascii="Rockwell" w:hAnsi="Rockwell"/>
                <w:b/>
                <w:bCs/>
                <w:i/>
                <w:iCs/>
                <w:sz w:val="22"/>
                <w:szCs w:val="22"/>
              </w:rPr>
              <w:t>Minimum 1 année</w:t>
            </w:r>
            <w:r w:rsidRPr="006C1F9F">
              <w:rPr>
                <w:rFonts w:ascii="Rockwell" w:hAnsi="Rockwell"/>
                <w:sz w:val="22"/>
                <w:szCs w:val="22"/>
              </w:rPr>
              <w:t>). L'étiquette doit comporter le logo de la maison fabriquant le bloc à lécher présenter.</w:t>
            </w:r>
          </w:p>
          <w:p w14:paraId="7A8655F8" w14:textId="77777777" w:rsidR="00D0008E" w:rsidRPr="006C1F9F" w:rsidRDefault="00D0008E" w:rsidP="007967CE">
            <w:pPr>
              <w:pStyle w:val="BodyText"/>
              <w:jc w:val="both"/>
              <w:rPr>
                <w:rFonts w:ascii="Rockwell" w:hAnsi="Rockwell"/>
                <w:b/>
                <w:bCs/>
                <w:sz w:val="22"/>
                <w:szCs w:val="22"/>
              </w:rPr>
            </w:pPr>
            <w:r w:rsidRPr="006C1F9F">
              <w:rPr>
                <w:rFonts w:ascii="Rockwell" w:hAnsi="Rockwell"/>
                <w:sz w:val="22"/>
                <w:szCs w:val="22"/>
              </w:rPr>
              <w:lastRenderedPageBreak/>
              <w:t>6) Certificat d'origine : fourni par le fabricant ou la maison qui produit ou qui exporte le bloc à lécher.</w:t>
            </w:r>
          </w:p>
        </w:tc>
        <w:tc>
          <w:tcPr>
            <w:tcW w:w="719" w:type="pct"/>
          </w:tcPr>
          <w:p w14:paraId="0E9D1318" w14:textId="77777777" w:rsidR="00D0008E" w:rsidRPr="006C1F9F" w:rsidRDefault="00D0008E" w:rsidP="007967CE">
            <w:pPr>
              <w:pStyle w:val="BodyText"/>
              <w:jc w:val="both"/>
              <w:rPr>
                <w:rFonts w:ascii="Rockwell" w:hAnsi="Rockwell"/>
                <w:b/>
                <w:bCs/>
                <w:sz w:val="22"/>
                <w:szCs w:val="22"/>
              </w:rPr>
            </w:pPr>
            <w:r w:rsidRPr="006C1F9F">
              <w:rPr>
                <w:rFonts w:ascii="Rockwell" w:hAnsi="Rockwell"/>
                <w:sz w:val="22"/>
                <w:szCs w:val="22"/>
              </w:rPr>
              <w:lastRenderedPageBreak/>
              <w:t>Bloc de 5 kg</w:t>
            </w:r>
          </w:p>
        </w:tc>
        <w:tc>
          <w:tcPr>
            <w:tcW w:w="1008" w:type="pct"/>
          </w:tcPr>
          <w:p w14:paraId="3AF226E8" w14:textId="77777777" w:rsidR="00D0008E" w:rsidRPr="006C1F9F" w:rsidRDefault="00D0008E" w:rsidP="007967CE">
            <w:pPr>
              <w:pStyle w:val="BodyText"/>
              <w:jc w:val="both"/>
              <w:rPr>
                <w:rFonts w:ascii="Rockwell" w:hAnsi="Rockwell"/>
                <w:sz w:val="22"/>
                <w:szCs w:val="22"/>
              </w:rPr>
            </w:pPr>
          </w:p>
        </w:tc>
        <w:tc>
          <w:tcPr>
            <w:tcW w:w="492" w:type="pct"/>
          </w:tcPr>
          <w:p w14:paraId="76CB6C0B" w14:textId="77777777" w:rsidR="00D0008E" w:rsidRPr="006C1F9F" w:rsidRDefault="00D0008E" w:rsidP="007967CE">
            <w:pPr>
              <w:pStyle w:val="BodyText"/>
              <w:jc w:val="both"/>
              <w:rPr>
                <w:rFonts w:ascii="Rockwell" w:hAnsi="Rockwell"/>
                <w:sz w:val="22"/>
                <w:szCs w:val="22"/>
              </w:rPr>
            </w:pPr>
          </w:p>
        </w:tc>
      </w:tr>
      <w:tr w:rsidR="00D0008E" w:rsidRPr="006C1F9F" w14:paraId="7C7D2EB0" w14:textId="77777777" w:rsidTr="007967CE">
        <w:trPr>
          <w:trHeight w:val="20"/>
        </w:trPr>
        <w:tc>
          <w:tcPr>
            <w:tcW w:w="2781" w:type="pct"/>
            <w:gridSpan w:val="2"/>
            <w:vAlign w:val="center"/>
          </w:tcPr>
          <w:p w14:paraId="2239EA66" w14:textId="77777777" w:rsidR="00D0008E" w:rsidRPr="006C1F9F" w:rsidRDefault="00D0008E" w:rsidP="007967CE">
            <w:pPr>
              <w:jc w:val="both"/>
              <w:rPr>
                <w:rFonts w:ascii="Rockwell" w:hAnsi="Rockwell"/>
                <w:b/>
                <w:bCs/>
                <w:color w:val="000000"/>
                <w:sz w:val="22"/>
                <w:szCs w:val="22"/>
              </w:rPr>
            </w:pPr>
            <w:r w:rsidRPr="006C1F9F">
              <w:rPr>
                <w:rFonts w:ascii="Rockwell" w:hAnsi="Rockwell"/>
                <w:b/>
                <w:bCs/>
                <w:sz w:val="22"/>
                <w:szCs w:val="22"/>
              </w:rPr>
              <w:t>Produits vétérinaires : antihitlériens et antipyrétiques</w:t>
            </w:r>
          </w:p>
        </w:tc>
        <w:tc>
          <w:tcPr>
            <w:tcW w:w="719" w:type="pct"/>
          </w:tcPr>
          <w:p w14:paraId="22E21FF3" w14:textId="77777777" w:rsidR="00D0008E" w:rsidRPr="006C1F9F" w:rsidRDefault="00D0008E" w:rsidP="007967CE">
            <w:pPr>
              <w:pStyle w:val="BodyText"/>
              <w:jc w:val="both"/>
              <w:rPr>
                <w:rFonts w:ascii="Rockwell" w:hAnsi="Rockwell"/>
                <w:sz w:val="22"/>
                <w:szCs w:val="22"/>
              </w:rPr>
            </w:pPr>
          </w:p>
        </w:tc>
        <w:tc>
          <w:tcPr>
            <w:tcW w:w="1008" w:type="pct"/>
          </w:tcPr>
          <w:p w14:paraId="57F07F66" w14:textId="77777777" w:rsidR="00D0008E" w:rsidRPr="006C1F9F" w:rsidRDefault="00D0008E" w:rsidP="007967CE">
            <w:pPr>
              <w:pStyle w:val="BodyText"/>
              <w:jc w:val="both"/>
              <w:rPr>
                <w:rFonts w:ascii="Rockwell" w:hAnsi="Rockwell"/>
                <w:sz w:val="22"/>
                <w:szCs w:val="22"/>
              </w:rPr>
            </w:pPr>
          </w:p>
        </w:tc>
        <w:tc>
          <w:tcPr>
            <w:tcW w:w="492" w:type="pct"/>
          </w:tcPr>
          <w:p w14:paraId="405448E4" w14:textId="77777777" w:rsidR="00D0008E" w:rsidRPr="006C1F9F" w:rsidRDefault="00D0008E" w:rsidP="007967CE">
            <w:pPr>
              <w:pStyle w:val="BodyText"/>
              <w:jc w:val="both"/>
              <w:rPr>
                <w:rFonts w:ascii="Rockwell" w:hAnsi="Rockwell"/>
                <w:sz w:val="22"/>
                <w:szCs w:val="22"/>
              </w:rPr>
            </w:pPr>
          </w:p>
        </w:tc>
      </w:tr>
      <w:tr w:rsidR="00D0008E" w:rsidRPr="006C1F9F" w14:paraId="02FF707D" w14:textId="77777777" w:rsidTr="007967CE">
        <w:trPr>
          <w:trHeight w:val="20"/>
        </w:trPr>
        <w:tc>
          <w:tcPr>
            <w:tcW w:w="862" w:type="pct"/>
            <w:vAlign w:val="center"/>
          </w:tcPr>
          <w:p w14:paraId="69750A4D" w14:textId="77777777" w:rsidR="00D0008E" w:rsidRPr="006C1F9F" w:rsidRDefault="00D0008E" w:rsidP="007967CE">
            <w:pPr>
              <w:pStyle w:val="BodyText"/>
              <w:jc w:val="both"/>
              <w:rPr>
                <w:rFonts w:ascii="Rockwell" w:hAnsi="Rockwell"/>
                <w:color w:val="000000"/>
                <w:sz w:val="22"/>
                <w:szCs w:val="22"/>
              </w:rPr>
            </w:pPr>
            <w:r w:rsidRPr="006C1F9F">
              <w:rPr>
                <w:rFonts w:ascii="Rockwell" w:hAnsi="Rockwell"/>
                <w:color w:val="000000"/>
                <w:sz w:val="22"/>
                <w:szCs w:val="22"/>
                <w:lang w:eastAsia="fr-FR"/>
              </w:rPr>
              <w:t>Buparvaquone</w:t>
            </w:r>
          </w:p>
        </w:tc>
        <w:tc>
          <w:tcPr>
            <w:tcW w:w="1919" w:type="pct"/>
          </w:tcPr>
          <w:p w14:paraId="4A190942" w14:textId="77777777" w:rsidR="00D0008E" w:rsidRPr="006C1F9F" w:rsidRDefault="00D0008E" w:rsidP="007967CE">
            <w:pPr>
              <w:jc w:val="both"/>
              <w:rPr>
                <w:rFonts w:ascii="Rockwell" w:hAnsi="Rockwell"/>
                <w:color w:val="000000"/>
                <w:sz w:val="22"/>
                <w:szCs w:val="22"/>
              </w:rPr>
            </w:pPr>
            <w:r w:rsidRPr="006C1F9F">
              <w:rPr>
                <w:rFonts w:ascii="Rockwell" w:hAnsi="Rockwell"/>
                <w:color w:val="000000"/>
                <w:sz w:val="22"/>
                <w:szCs w:val="22"/>
                <w:lang w:eastAsia="fr-FR"/>
              </w:rPr>
              <w:t>50 mg/ml, Solution huileuse, injectable de buparvaquone, couleur rouge rubis</w:t>
            </w:r>
          </w:p>
        </w:tc>
        <w:tc>
          <w:tcPr>
            <w:tcW w:w="719" w:type="pct"/>
          </w:tcPr>
          <w:p w14:paraId="3D850849" w14:textId="77777777" w:rsidR="00D0008E" w:rsidRPr="006C1F9F" w:rsidRDefault="00D0008E" w:rsidP="007967CE">
            <w:pPr>
              <w:pStyle w:val="BodyText"/>
              <w:jc w:val="both"/>
              <w:rPr>
                <w:rFonts w:ascii="Rockwell" w:hAnsi="Rockwell"/>
                <w:sz w:val="22"/>
                <w:szCs w:val="22"/>
              </w:rPr>
            </w:pPr>
            <w:r w:rsidRPr="006C1F9F">
              <w:rPr>
                <w:rFonts w:ascii="Rockwell" w:hAnsi="Rockwell"/>
                <w:sz w:val="22"/>
                <w:szCs w:val="22"/>
                <w:lang w:eastAsia="fr-FR"/>
              </w:rPr>
              <w:t>Flacon de</w:t>
            </w:r>
            <w:r w:rsidRPr="006C1F9F">
              <w:rPr>
                <w:rFonts w:ascii="Rockwell" w:hAnsi="Rockwell"/>
                <w:i/>
                <w:iCs/>
                <w:sz w:val="22"/>
                <w:szCs w:val="22"/>
                <w:lang w:eastAsia="fr-FR"/>
              </w:rPr>
              <w:t xml:space="preserve"> 50 ml</w:t>
            </w:r>
          </w:p>
        </w:tc>
        <w:tc>
          <w:tcPr>
            <w:tcW w:w="1008" w:type="pct"/>
          </w:tcPr>
          <w:p w14:paraId="339BB428" w14:textId="77777777" w:rsidR="00D0008E" w:rsidRPr="006C1F9F" w:rsidRDefault="00D0008E" w:rsidP="007967CE">
            <w:pPr>
              <w:pStyle w:val="BodyText"/>
              <w:jc w:val="both"/>
              <w:rPr>
                <w:rFonts w:ascii="Rockwell" w:hAnsi="Rockwell"/>
                <w:sz w:val="22"/>
                <w:szCs w:val="22"/>
              </w:rPr>
            </w:pPr>
          </w:p>
        </w:tc>
        <w:tc>
          <w:tcPr>
            <w:tcW w:w="492" w:type="pct"/>
          </w:tcPr>
          <w:p w14:paraId="775B41FD" w14:textId="77777777" w:rsidR="00D0008E" w:rsidRPr="006C1F9F" w:rsidRDefault="00D0008E" w:rsidP="007967CE">
            <w:pPr>
              <w:pStyle w:val="BodyText"/>
              <w:jc w:val="both"/>
              <w:rPr>
                <w:rFonts w:ascii="Rockwell" w:hAnsi="Rockwell"/>
                <w:sz w:val="22"/>
                <w:szCs w:val="22"/>
              </w:rPr>
            </w:pPr>
          </w:p>
        </w:tc>
      </w:tr>
      <w:tr w:rsidR="00D0008E" w:rsidRPr="006C1F9F" w14:paraId="6D0F8C96" w14:textId="77777777" w:rsidTr="007967CE">
        <w:trPr>
          <w:trHeight w:val="20"/>
        </w:trPr>
        <w:tc>
          <w:tcPr>
            <w:tcW w:w="862" w:type="pct"/>
            <w:vAlign w:val="center"/>
          </w:tcPr>
          <w:p w14:paraId="1C8B1C57"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Novalgine</w:t>
            </w:r>
          </w:p>
        </w:tc>
        <w:tc>
          <w:tcPr>
            <w:tcW w:w="1919" w:type="pct"/>
          </w:tcPr>
          <w:p w14:paraId="1FCB008A"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sz w:val="22"/>
                <w:szCs w:val="22"/>
                <w:lang w:eastAsia="fr-FR"/>
              </w:rPr>
              <w:t xml:space="preserve">500 mg/ml, solution huileuse, injectable de noramidopyrine sodium methanesulfonate + </w:t>
            </w:r>
            <w:r w:rsidRPr="006C1F9F">
              <w:rPr>
                <w:rFonts w:ascii="Rockwell" w:hAnsi="Rockwell"/>
                <w:i/>
                <w:iCs/>
                <w:sz w:val="22"/>
                <w:szCs w:val="22"/>
                <w:lang w:eastAsia="fr-FR"/>
              </w:rPr>
              <w:t>Benzyl Alchool,</w:t>
            </w:r>
          </w:p>
        </w:tc>
        <w:tc>
          <w:tcPr>
            <w:tcW w:w="719" w:type="pct"/>
          </w:tcPr>
          <w:p w14:paraId="49E06AD3"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Flacon de 100 ml</w:t>
            </w:r>
          </w:p>
        </w:tc>
        <w:tc>
          <w:tcPr>
            <w:tcW w:w="1008" w:type="pct"/>
          </w:tcPr>
          <w:p w14:paraId="416EFF70" w14:textId="77777777" w:rsidR="00D0008E" w:rsidRPr="006C1F9F" w:rsidRDefault="00D0008E" w:rsidP="007967CE">
            <w:pPr>
              <w:pStyle w:val="BodyText"/>
              <w:jc w:val="both"/>
              <w:rPr>
                <w:rFonts w:ascii="Rockwell" w:hAnsi="Rockwell"/>
                <w:sz w:val="22"/>
                <w:szCs w:val="22"/>
              </w:rPr>
            </w:pPr>
          </w:p>
        </w:tc>
        <w:tc>
          <w:tcPr>
            <w:tcW w:w="492" w:type="pct"/>
          </w:tcPr>
          <w:p w14:paraId="5A4A3CE9" w14:textId="77777777" w:rsidR="00D0008E" w:rsidRPr="006C1F9F" w:rsidRDefault="00D0008E" w:rsidP="007967CE">
            <w:pPr>
              <w:pStyle w:val="BodyText"/>
              <w:jc w:val="both"/>
              <w:rPr>
                <w:rFonts w:ascii="Rockwell" w:hAnsi="Rockwell"/>
                <w:sz w:val="22"/>
                <w:szCs w:val="22"/>
              </w:rPr>
            </w:pPr>
          </w:p>
        </w:tc>
      </w:tr>
      <w:tr w:rsidR="00D0008E" w:rsidRPr="006C1F9F" w14:paraId="65338B0F" w14:textId="77777777" w:rsidTr="007967CE">
        <w:trPr>
          <w:trHeight w:val="20"/>
        </w:trPr>
        <w:tc>
          <w:tcPr>
            <w:tcW w:w="862" w:type="pct"/>
            <w:vAlign w:val="center"/>
          </w:tcPr>
          <w:p w14:paraId="08913D73"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Phenylbutazone</w:t>
            </w:r>
          </w:p>
        </w:tc>
        <w:tc>
          <w:tcPr>
            <w:tcW w:w="1919" w:type="pct"/>
          </w:tcPr>
          <w:p w14:paraId="46EF0812" w14:textId="77777777" w:rsidR="00D0008E" w:rsidRPr="006C1F9F" w:rsidRDefault="00D0008E" w:rsidP="007967CE">
            <w:pPr>
              <w:jc w:val="both"/>
              <w:rPr>
                <w:rFonts w:ascii="Rockwell" w:hAnsi="Rockwell"/>
                <w:sz w:val="22"/>
                <w:szCs w:val="22"/>
                <w:lang w:eastAsia="fr-FR"/>
              </w:rPr>
            </w:pPr>
            <w:r w:rsidRPr="006C1F9F">
              <w:rPr>
                <w:rFonts w:ascii="Rockwell" w:hAnsi="Rockwell"/>
                <w:color w:val="000000"/>
                <w:sz w:val="22"/>
                <w:szCs w:val="22"/>
                <w:lang w:eastAsia="fr-FR"/>
              </w:rPr>
              <w:t>Solution huileuse injectable 200 mg/ml</w:t>
            </w:r>
          </w:p>
        </w:tc>
        <w:tc>
          <w:tcPr>
            <w:tcW w:w="719" w:type="pct"/>
          </w:tcPr>
          <w:p w14:paraId="5B156338"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sz w:val="22"/>
                <w:szCs w:val="22"/>
                <w:lang w:eastAsia="fr-FR"/>
              </w:rPr>
              <w:t xml:space="preserve">Flacon de </w:t>
            </w:r>
            <w:r w:rsidRPr="006C1F9F">
              <w:rPr>
                <w:rFonts w:ascii="Rockwell" w:hAnsi="Rockwell"/>
                <w:i/>
                <w:iCs/>
                <w:sz w:val="22"/>
                <w:szCs w:val="22"/>
                <w:lang w:eastAsia="fr-FR"/>
              </w:rPr>
              <w:t>100 ml</w:t>
            </w:r>
          </w:p>
        </w:tc>
        <w:tc>
          <w:tcPr>
            <w:tcW w:w="1008" w:type="pct"/>
          </w:tcPr>
          <w:p w14:paraId="5E8C3C86" w14:textId="77777777" w:rsidR="00D0008E" w:rsidRPr="006C1F9F" w:rsidRDefault="00D0008E" w:rsidP="007967CE">
            <w:pPr>
              <w:pStyle w:val="BodyText"/>
              <w:jc w:val="both"/>
              <w:rPr>
                <w:rFonts w:ascii="Rockwell" w:hAnsi="Rockwell"/>
                <w:sz w:val="22"/>
                <w:szCs w:val="22"/>
              </w:rPr>
            </w:pPr>
          </w:p>
        </w:tc>
        <w:tc>
          <w:tcPr>
            <w:tcW w:w="492" w:type="pct"/>
          </w:tcPr>
          <w:p w14:paraId="44FAD112" w14:textId="77777777" w:rsidR="00D0008E" w:rsidRPr="006C1F9F" w:rsidRDefault="00D0008E" w:rsidP="007967CE">
            <w:pPr>
              <w:pStyle w:val="BodyText"/>
              <w:jc w:val="both"/>
              <w:rPr>
                <w:rFonts w:ascii="Rockwell" w:hAnsi="Rockwell"/>
                <w:sz w:val="22"/>
                <w:szCs w:val="22"/>
              </w:rPr>
            </w:pPr>
          </w:p>
        </w:tc>
      </w:tr>
      <w:tr w:rsidR="00D0008E" w:rsidRPr="006C1F9F" w14:paraId="3A5A3DBA" w14:textId="77777777" w:rsidTr="007967CE">
        <w:trPr>
          <w:trHeight w:val="20"/>
        </w:trPr>
        <w:tc>
          <w:tcPr>
            <w:tcW w:w="2781" w:type="pct"/>
            <w:gridSpan w:val="2"/>
            <w:vAlign w:val="center"/>
          </w:tcPr>
          <w:p w14:paraId="056AB165" w14:textId="77777777" w:rsidR="00D0008E" w:rsidRPr="006C1F9F" w:rsidRDefault="00D0008E" w:rsidP="007967CE">
            <w:pPr>
              <w:jc w:val="both"/>
              <w:rPr>
                <w:rFonts w:ascii="Rockwell" w:hAnsi="Rockwell"/>
                <w:b/>
                <w:bCs/>
                <w:color w:val="000000"/>
                <w:sz w:val="22"/>
                <w:szCs w:val="22"/>
                <w:lang w:eastAsia="fr-FR"/>
              </w:rPr>
            </w:pPr>
            <w:r w:rsidRPr="006C1F9F">
              <w:rPr>
                <w:rFonts w:ascii="Rockwell" w:hAnsi="Rockwell"/>
                <w:b/>
                <w:bCs/>
                <w:sz w:val="22"/>
                <w:szCs w:val="22"/>
              </w:rPr>
              <w:t>Produits vétérinaires : antibiotiques et sulfamidés</w:t>
            </w:r>
          </w:p>
        </w:tc>
        <w:tc>
          <w:tcPr>
            <w:tcW w:w="719" w:type="pct"/>
          </w:tcPr>
          <w:p w14:paraId="6924153A" w14:textId="77777777" w:rsidR="00D0008E" w:rsidRPr="006C1F9F" w:rsidRDefault="00D0008E" w:rsidP="007967CE">
            <w:pPr>
              <w:pStyle w:val="BodyText"/>
              <w:jc w:val="both"/>
              <w:rPr>
                <w:rFonts w:ascii="Rockwell" w:hAnsi="Rockwell"/>
                <w:sz w:val="22"/>
                <w:szCs w:val="22"/>
                <w:lang w:eastAsia="fr-FR"/>
              </w:rPr>
            </w:pPr>
          </w:p>
        </w:tc>
        <w:tc>
          <w:tcPr>
            <w:tcW w:w="1008" w:type="pct"/>
          </w:tcPr>
          <w:p w14:paraId="284F5259" w14:textId="77777777" w:rsidR="00D0008E" w:rsidRPr="006C1F9F" w:rsidRDefault="00D0008E" w:rsidP="007967CE">
            <w:pPr>
              <w:pStyle w:val="BodyText"/>
              <w:jc w:val="both"/>
              <w:rPr>
                <w:rFonts w:ascii="Rockwell" w:hAnsi="Rockwell"/>
                <w:sz w:val="22"/>
                <w:szCs w:val="22"/>
              </w:rPr>
            </w:pPr>
          </w:p>
        </w:tc>
        <w:tc>
          <w:tcPr>
            <w:tcW w:w="492" w:type="pct"/>
          </w:tcPr>
          <w:p w14:paraId="0616F8FA" w14:textId="77777777" w:rsidR="00D0008E" w:rsidRPr="006C1F9F" w:rsidRDefault="00D0008E" w:rsidP="007967CE">
            <w:pPr>
              <w:pStyle w:val="BodyText"/>
              <w:jc w:val="both"/>
              <w:rPr>
                <w:rFonts w:ascii="Rockwell" w:hAnsi="Rockwell"/>
                <w:sz w:val="22"/>
                <w:szCs w:val="22"/>
              </w:rPr>
            </w:pPr>
          </w:p>
        </w:tc>
      </w:tr>
      <w:tr w:rsidR="00D0008E" w:rsidRPr="006C1F9F" w14:paraId="5051E223" w14:textId="77777777" w:rsidTr="007967CE">
        <w:trPr>
          <w:trHeight w:val="20"/>
        </w:trPr>
        <w:tc>
          <w:tcPr>
            <w:tcW w:w="862" w:type="pct"/>
            <w:vAlign w:val="center"/>
          </w:tcPr>
          <w:p w14:paraId="32FED72C"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Oxytetracycline 20%</w:t>
            </w:r>
          </w:p>
        </w:tc>
        <w:tc>
          <w:tcPr>
            <w:tcW w:w="1919" w:type="pct"/>
          </w:tcPr>
          <w:p w14:paraId="75917B36"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200 mg/ml, solution huileuse, injectable d’oxytetracyclinihydrochloridum</w:t>
            </w:r>
          </w:p>
        </w:tc>
        <w:tc>
          <w:tcPr>
            <w:tcW w:w="719" w:type="pct"/>
          </w:tcPr>
          <w:p w14:paraId="6930CAB7"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Flacon de 100 ml</w:t>
            </w:r>
          </w:p>
        </w:tc>
        <w:tc>
          <w:tcPr>
            <w:tcW w:w="1008" w:type="pct"/>
          </w:tcPr>
          <w:p w14:paraId="0FDDB150" w14:textId="77777777" w:rsidR="00D0008E" w:rsidRPr="006C1F9F" w:rsidRDefault="00D0008E" w:rsidP="007967CE">
            <w:pPr>
              <w:pStyle w:val="BodyText"/>
              <w:jc w:val="both"/>
              <w:rPr>
                <w:rFonts w:ascii="Rockwell" w:hAnsi="Rockwell"/>
                <w:sz w:val="22"/>
                <w:szCs w:val="22"/>
              </w:rPr>
            </w:pPr>
          </w:p>
        </w:tc>
        <w:tc>
          <w:tcPr>
            <w:tcW w:w="492" w:type="pct"/>
          </w:tcPr>
          <w:p w14:paraId="46E813F1" w14:textId="77777777" w:rsidR="00D0008E" w:rsidRPr="006C1F9F" w:rsidRDefault="00D0008E" w:rsidP="007967CE">
            <w:pPr>
              <w:pStyle w:val="BodyText"/>
              <w:jc w:val="both"/>
              <w:rPr>
                <w:rFonts w:ascii="Rockwell" w:hAnsi="Rockwell"/>
                <w:sz w:val="22"/>
                <w:szCs w:val="22"/>
              </w:rPr>
            </w:pPr>
          </w:p>
        </w:tc>
      </w:tr>
      <w:tr w:rsidR="00D0008E" w:rsidRPr="006C1F9F" w14:paraId="4FD697AD" w14:textId="77777777" w:rsidTr="007967CE">
        <w:trPr>
          <w:trHeight w:val="20"/>
        </w:trPr>
        <w:tc>
          <w:tcPr>
            <w:tcW w:w="862" w:type="pct"/>
            <w:vAlign w:val="center"/>
          </w:tcPr>
          <w:p w14:paraId="705D2D88"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Péni-streptomycine</w:t>
            </w:r>
          </w:p>
        </w:tc>
        <w:tc>
          <w:tcPr>
            <w:tcW w:w="1919" w:type="pct"/>
          </w:tcPr>
          <w:p w14:paraId="41A8ABEC"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200 mg/ml, solution huileuse, injectable de benzylpenicillinumprocainum et dihydrostreptomycinisulfas</w:t>
            </w:r>
          </w:p>
        </w:tc>
        <w:tc>
          <w:tcPr>
            <w:tcW w:w="719" w:type="pct"/>
          </w:tcPr>
          <w:p w14:paraId="7ED85DC3"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Flacon de 100 ml</w:t>
            </w:r>
          </w:p>
        </w:tc>
        <w:tc>
          <w:tcPr>
            <w:tcW w:w="1008" w:type="pct"/>
          </w:tcPr>
          <w:p w14:paraId="4D920AA9" w14:textId="77777777" w:rsidR="00D0008E" w:rsidRPr="006C1F9F" w:rsidRDefault="00D0008E" w:rsidP="007967CE">
            <w:pPr>
              <w:pStyle w:val="BodyText"/>
              <w:jc w:val="both"/>
              <w:rPr>
                <w:rFonts w:ascii="Rockwell" w:hAnsi="Rockwell"/>
                <w:sz w:val="22"/>
                <w:szCs w:val="22"/>
              </w:rPr>
            </w:pPr>
          </w:p>
        </w:tc>
        <w:tc>
          <w:tcPr>
            <w:tcW w:w="492" w:type="pct"/>
          </w:tcPr>
          <w:p w14:paraId="76AFC2F1" w14:textId="77777777" w:rsidR="00D0008E" w:rsidRPr="006C1F9F" w:rsidRDefault="00D0008E" w:rsidP="007967CE">
            <w:pPr>
              <w:pStyle w:val="BodyText"/>
              <w:jc w:val="both"/>
              <w:rPr>
                <w:rFonts w:ascii="Rockwell" w:hAnsi="Rockwell"/>
                <w:sz w:val="22"/>
                <w:szCs w:val="22"/>
              </w:rPr>
            </w:pPr>
          </w:p>
        </w:tc>
      </w:tr>
      <w:tr w:rsidR="00D0008E" w:rsidRPr="006C1F9F" w14:paraId="161C2C7C" w14:textId="77777777" w:rsidTr="007967CE">
        <w:trPr>
          <w:trHeight w:val="20"/>
        </w:trPr>
        <w:tc>
          <w:tcPr>
            <w:tcW w:w="862" w:type="pct"/>
            <w:vAlign w:val="center"/>
          </w:tcPr>
          <w:p w14:paraId="7685B910"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 xml:space="preserve">Sulfamidés + Triméthoprime </w:t>
            </w:r>
          </w:p>
        </w:tc>
        <w:tc>
          <w:tcPr>
            <w:tcW w:w="1919" w:type="pct"/>
          </w:tcPr>
          <w:p w14:paraId="03198644"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 xml:space="preserve">40 mg-200 mg/ml solution injectable de sulfamidés et triméthoprime </w:t>
            </w:r>
          </w:p>
        </w:tc>
        <w:tc>
          <w:tcPr>
            <w:tcW w:w="719" w:type="pct"/>
          </w:tcPr>
          <w:p w14:paraId="05407E1A"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Flacon de 100 ml</w:t>
            </w:r>
          </w:p>
        </w:tc>
        <w:tc>
          <w:tcPr>
            <w:tcW w:w="1008" w:type="pct"/>
          </w:tcPr>
          <w:p w14:paraId="1632630C" w14:textId="77777777" w:rsidR="00D0008E" w:rsidRPr="006C1F9F" w:rsidRDefault="00D0008E" w:rsidP="007967CE">
            <w:pPr>
              <w:pStyle w:val="BodyText"/>
              <w:jc w:val="both"/>
              <w:rPr>
                <w:rFonts w:ascii="Rockwell" w:hAnsi="Rockwell"/>
                <w:sz w:val="22"/>
                <w:szCs w:val="22"/>
              </w:rPr>
            </w:pPr>
          </w:p>
        </w:tc>
        <w:tc>
          <w:tcPr>
            <w:tcW w:w="492" w:type="pct"/>
          </w:tcPr>
          <w:p w14:paraId="260E854A" w14:textId="77777777" w:rsidR="00D0008E" w:rsidRPr="006C1F9F" w:rsidRDefault="00D0008E" w:rsidP="007967CE">
            <w:pPr>
              <w:pStyle w:val="BodyText"/>
              <w:jc w:val="both"/>
              <w:rPr>
                <w:rFonts w:ascii="Rockwell" w:hAnsi="Rockwell"/>
                <w:sz w:val="22"/>
                <w:szCs w:val="22"/>
              </w:rPr>
            </w:pPr>
          </w:p>
        </w:tc>
      </w:tr>
      <w:tr w:rsidR="00D0008E" w:rsidRPr="006C1F9F" w14:paraId="4BF7CF6C" w14:textId="77777777" w:rsidTr="007967CE">
        <w:trPr>
          <w:trHeight w:val="20"/>
        </w:trPr>
        <w:tc>
          <w:tcPr>
            <w:tcW w:w="862" w:type="pct"/>
            <w:vAlign w:val="center"/>
          </w:tcPr>
          <w:p w14:paraId="51E33C8B"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 xml:space="preserve">Enrofloxacine </w:t>
            </w:r>
          </w:p>
        </w:tc>
        <w:tc>
          <w:tcPr>
            <w:tcW w:w="1919" w:type="pct"/>
          </w:tcPr>
          <w:p w14:paraId="15967821"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 xml:space="preserve">Solution injectable d’enrofloxacine 100mg/ml </w:t>
            </w:r>
          </w:p>
        </w:tc>
        <w:tc>
          <w:tcPr>
            <w:tcW w:w="719" w:type="pct"/>
          </w:tcPr>
          <w:p w14:paraId="488B3AB1"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Flacon de 100 ml</w:t>
            </w:r>
          </w:p>
        </w:tc>
        <w:tc>
          <w:tcPr>
            <w:tcW w:w="1008" w:type="pct"/>
          </w:tcPr>
          <w:p w14:paraId="205774B1" w14:textId="77777777" w:rsidR="00D0008E" w:rsidRPr="006C1F9F" w:rsidRDefault="00D0008E" w:rsidP="007967CE">
            <w:pPr>
              <w:pStyle w:val="BodyText"/>
              <w:jc w:val="both"/>
              <w:rPr>
                <w:rFonts w:ascii="Rockwell" w:hAnsi="Rockwell"/>
                <w:sz w:val="22"/>
                <w:szCs w:val="22"/>
              </w:rPr>
            </w:pPr>
          </w:p>
        </w:tc>
        <w:tc>
          <w:tcPr>
            <w:tcW w:w="492" w:type="pct"/>
          </w:tcPr>
          <w:p w14:paraId="56245C5A" w14:textId="77777777" w:rsidR="00D0008E" w:rsidRPr="006C1F9F" w:rsidRDefault="00D0008E" w:rsidP="007967CE">
            <w:pPr>
              <w:pStyle w:val="BodyText"/>
              <w:jc w:val="both"/>
              <w:rPr>
                <w:rFonts w:ascii="Rockwell" w:hAnsi="Rockwell"/>
                <w:sz w:val="22"/>
                <w:szCs w:val="22"/>
              </w:rPr>
            </w:pPr>
          </w:p>
        </w:tc>
      </w:tr>
      <w:tr w:rsidR="00D0008E" w:rsidRPr="006C1F9F" w14:paraId="577EC265" w14:textId="77777777" w:rsidTr="007967CE">
        <w:trPr>
          <w:trHeight w:val="20"/>
        </w:trPr>
        <w:tc>
          <w:tcPr>
            <w:tcW w:w="862" w:type="pct"/>
            <w:vAlign w:val="center"/>
          </w:tcPr>
          <w:p w14:paraId="7CDD3D32"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 xml:space="preserve">Complexe antibiotique vitaminé </w:t>
            </w:r>
          </w:p>
        </w:tc>
        <w:tc>
          <w:tcPr>
            <w:tcW w:w="1919" w:type="pct"/>
          </w:tcPr>
          <w:p w14:paraId="4E8194A2"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bCs/>
                <w:sz w:val="22"/>
                <w:szCs w:val="22"/>
              </w:rPr>
              <w:t>Erythromicyne 35 mg+ Oxtétracycline 50 mg + streptomicyne  35 mg+colistine + vitamin ADECB</w:t>
            </w:r>
          </w:p>
        </w:tc>
        <w:tc>
          <w:tcPr>
            <w:tcW w:w="719" w:type="pct"/>
          </w:tcPr>
          <w:p w14:paraId="5C2FF33A"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bCs/>
                <w:sz w:val="22"/>
                <w:szCs w:val="22"/>
              </w:rPr>
              <w:t>Sachet de 100g, poudre</w:t>
            </w:r>
          </w:p>
        </w:tc>
        <w:tc>
          <w:tcPr>
            <w:tcW w:w="1008" w:type="pct"/>
          </w:tcPr>
          <w:p w14:paraId="3692D2E2" w14:textId="77777777" w:rsidR="00D0008E" w:rsidRPr="006C1F9F" w:rsidRDefault="00D0008E" w:rsidP="007967CE">
            <w:pPr>
              <w:pStyle w:val="BodyText"/>
              <w:jc w:val="both"/>
              <w:rPr>
                <w:rFonts w:ascii="Rockwell" w:hAnsi="Rockwell"/>
                <w:sz w:val="22"/>
                <w:szCs w:val="22"/>
              </w:rPr>
            </w:pPr>
          </w:p>
        </w:tc>
        <w:tc>
          <w:tcPr>
            <w:tcW w:w="492" w:type="pct"/>
          </w:tcPr>
          <w:p w14:paraId="39B107A3" w14:textId="77777777" w:rsidR="00D0008E" w:rsidRPr="006C1F9F" w:rsidRDefault="00D0008E" w:rsidP="007967CE">
            <w:pPr>
              <w:pStyle w:val="BodyText"/>
              <w:jc w:val="both"/>
              <w:rPr>
                <w:rFonts w:ascii="Rockwell" w:hAnsi="Rockwell"/>
                <w:sz w:val="22"/>
                <w:szCs w:val="22"/>
              </w:rPr>
            </w:pPr>
          </w:p>
        </w:tc>
      </w:tr>
      <w:tr w:rsidR="00D0008E" w:rsidRPr="006C1F9F" w14:paraId="0F360B56" w14:textId="77777777" w:rsidTr="007967CE">
        <w:trPr>
          <w:trHeight w:val="20"/>
        </w:trPr>
        <w:tc>
          <w:tcPr>
            <w:tcW w:w="862" w:type="pct"/>
            <w:vAlign w:val="center"/>
          </w:tcPr>
          <w:p w14:paraId="34F46FCA"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Bougies Intra-utérines</w:t>
            </w:r>
          </w:p>
        </w:tc>
        <w:tc>
          <w:tcPr>
            <w:tcW w:w="1919" w:type="pct"/>
          </w:tcPr>
          <w:p w14:paraId="20715CB8"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Oxytétracycline 2g</w:t>
            </w:r>
          </w:p>
        </w:tc>
        <w:tc>
          <w:tcPr>
            <w:tcW w:w="719" w:type="pct"/>
          </w:tcPr>
          <w:p w14:paraId="37FECB7F"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Boli</w:t>
            </w:r>
          </w:p>
        </w:tc>
        <w:tc>
          <w:tcPr>
            <w:tcW w:w="1008" w:type="pct"/>
          </w:tcPr>
          <w:p w14:paraId="44D19A02" w14:textId="77777777" w:rsidR="00D0008E" w:rsidRPr="006C1F9F" w:rsidRDefault="00D0008E" w:rsidP="007967CE">
            <w:pPr>
              <w:pStyle w:val="BodyText"/>
              <w:jc w:val="both"/>
              <w:rPr>
                <w:rFonts w:ascii="Rockwell" w:hAnsi="Rockwell"/>
                <w:sz w:val="22"/>
                <w:szCs w:val="22"/>
              </w:rPr>
            </w:pPr>
          </w:p>
        </w:tc>
        <w:tc>
          <w:tcPr>
            <w:tcW w:w="492" w:type="pct"/>
          </w:tcPr>
          <w:p w14:paraId="380E1485" w14:textId="77777777" w:rsidR="00D0008E" w:rsidRPr="006C1F9F" w:rsidRDefault="00D0008E" w:rsidP="007967CE">
            <w:pPr>
              <w:pStyle w:val="BodyText"/>
              <w:jc w:val="both"/>
              <w:rPr>
                <w:rFonts w:ascii="Rockwell" w:hAnsi="Rockwell"/>
                <w:sz w:val="22"/>
                <w:szCs w:val="22"/>
              </w:rPr>
            </w:pPr>
          </w:p>
        </w:tc>
      </w:tr>
      <w:tr w:rsidR="00D0008E" w:rsidRPr="006C1F9F" w14:paraId="78DE7673" w14:textId="77777777" w:rsidTr="007967CE">
        <w:trPr>
          <w:trHeight w:val="20"/>
        </w:trPr>
        <w:tc>
          <w:tcPr>
            <w:tcW w:w="862" w:type="pct"/>
            <w:vAlign w:val="center"/>
          </w:tcPr>
          <w:p w14:paraId="275D8DA1"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Oxytetracycline spray</w:t>
            </w:r>
          </w:p>
        </w:tc>
        <w:tc>
          <w:tcPr>
            <w:tcW w:w="1919" w:type="pct"/>
          </w:tcPr>
          <w:p w14:paraId="4B0F137C"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25 mg/ml d’aérosol d’oxytetracyclinehydrochloride teinté du bleu</w:t>
            </w:r>
          </w:p>
        </w:tc>
        <w:tc>
          <w:tcPr>
            <w:tcW w:w="719" w:type="pct"/>
          </w:tcPr>
          <w:p w14:paraId="1C6B4627"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Flacon - bouteille de 200 ml</w:t>
            </w:r>
          </w:p>
        </w:tc>
        <w:tc>
          <w:tcPr>
            <w:tcW w:w="1008" w:type="pct"/>
          </w:tcPr>
          <w:p w14:paraId="5A6F124B" w14:textId="77777777" w:rsidR="00D0008E" w:rsidRPr="006C1F9F" w:rsidRDefault="00D0008E" w:rsidP="007967CE">
            <w:pPr>
              <w:pStyle w:val="BodyText"/>
              <w:jc w:val="both"/>
              <w:rPr>
                <w:rFonts w:ascii="Rockwell" w:hAnsi="Rockwell"/>
                <w:sz w:val="22"/>
                <w:szCs w:val="22"/>
              </w:rPr>
            </w:pPr>
          </w:p>
        </w:tc>
        <w:tc>
          <w:tcPr>
            <w:tcW w:w="492" w:type="pct"/>
          </w:tcPr>
          <w:p w14:paraId="721DB610" w14:textId="77777777" w:rsidR="00D0008E" w:rsidRPr="006C1F9F" w:rsidRDefault="00D0008E" w:rsidP="007967CE">
            <w:pPr>
              <w:pStyle w:val="BodyText"/>
              <w:jc w:val="both"/>
              <w:rPr>
                <w:rFonts w:ascii="Rockwell" w:hAnsi="Rockwell"/>
                <w:sz w:val="22"/>
                <w:szCs w:val="22"/>
              </w:rPr>
            </w:pPr>
          </w:p>
        </w:tc>
      </w:tr>
      <w:tr w:rsidR="00D0008E" w:rsidRPr="006C1F9F" w14:paraId="1CA6ADDD" w14:textId="77777777" w:rsidTr="007967CE">
        <w:trPr>
          <w:trHeight w:val="20"/>
        </w:trPr>
        <w:tc>
          <w:tcPr>
            <w:tcW w:w="862" w:type="pct"/>
            <w:vAlign w:val="center"/>
          </w:tcPr>
          <w:p w14:paraId="097316B0"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Pommade intra-mammaire</w:t>
            </w:r>
          </w:p>
        </w:tc>
        <w:tc>
          <w:tcPr>
            <w:tcW w:w="1919" w:type="pct"/>
          </w:tcPr>
          <w:p w14:paraId="1F3A099F"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sz w:val="22"/>
                <w:szCs w:val="22"/>
                <w:lang w:eastAsia="fr-FR"/>
              </w:rPr>
              <w:t xml:space="preserve">Injecteur intra-mammaire avec minimum </w:t>
            </w:r>
            <w:r w:rsidRPr="006C1F9F">
              <w:rPr>
                <w:rFonts w:ascii="Rockwell" w:hAnsi="Rockwell"/>
                <w:i/>
                <w:iCs/>
                <w:sz w:val="22"/>
                <w:szCs w:val="22"/>
                <w:lang w:eastAsia="fr-FR"/>
              </w:rPr>
              <w:t>trois</w:t>
            </w:r>
            <w:r w:rsidRPr="006C1F9F">
              <w:rPr>
                <w:rFonts w:ascii="Rockwell" w:hAnsi="Rockwell"/>
                <w:sz w:val="22"/>
                <w:szCs w:val="22"/>
                <w:lang w:eastAsia="fr-FR"/>
              </w:rPr>
              <w:t xml:space="preserve"> antibiotiques et un anti-inflammatoire</w:t>
            </w:r>
          </w:p>
        </w:tc>
        <w:tc>
          <w:tcPr>
            <w:tcW w:w="719" w:type="pct"/>
          </w:tcPr>
          <w:p w14:paraId="108FEEA2"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Pièce</w:t>
            </w:r>
          </w:p>
        </w:tc>
        <w:tc>
          <w:tcPr>
            <w:tcW w:w="1008" w:type="pct"/>
          </w:tcPr>
          <w:p w14:paraId="7CC27678" w14:textId="77777777" w:rsidR="00D0008E" w:rsidRPr="006C1F9F" w:rsidRDefault="00D0008E" w:rsidP="007967CE">
            <w:pPr>
              <w:pStyle w:val="BodyText"/>
              <w:jc w:val="both"/>
              <w:rPr>
                <w:rFonts w:ascii="Rockwell" w:hAnsi="Rockwell"/>
                <w:sz w:val="22"/>
                <w:szCs w:val="22"/>
              </w:rPr>
            </w:pPr>
          </w:p>
        </w:tc>
        <w:tc>
          <w:tcPr>
            <w:tcW w:w="492" w:type="pct"/>
          </w:tcPr>
          <w:p w14:paraId="4B47CD95" w14:textId="77777777" w:rsidR="00D0008E" w:rsidRPr="006C1F9F" w:rsidRDefault="00D0008E" w:rsidP="007967CE">
            <w:pPr>
              <w:pStyle w:val="BodyText"/>
              <w:jc w:val="both"/>
              <w:rPr>
                <w:rFonts w:ascii="Rockwell" w:hAnsi="Rockwell"/>
                <w:sz w:val="22"/>
                <w:szCs w:val="22"/>
              </w:rPr>
            </w:pPr>
          </w:p>
        </w:tc>
      </w:tr>
      <w:tr w:rsidR="00D0008E" w:rsidRPr="006C1F9F" w14:paraId="7A0FE4AC" w14:textId="77777777" w:rsidTr="007967CE">
        <w:trPr>
          <w:trHeight w:val="20"/>
        </w:trPr>
        <w:tc>
          <w:tcPr>
            <w:tcW w:w="862" w:type="pct"/>
            <w:vAlign w:val="center"/>
          </w:tcPr>
          <w:p w14:paraId="4168BDDE"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lastRenderedPageBreak/>
              <w:t>Collyre ophtalmique</w:t>
            </w:r>
          </w:p>
        </w:tc>
        <w:tc>
          <w:tcPr>
            <w:tcW w:w="1919" w:type="pct"/>
          </w:tcPr>
          <w:p w14:paraId="6A48CB88" w14:textId="77777777" w:rsidR="00D0008E" w:rsidRPr="006C1F9F" w:rsidRDefault="00D0008E" w:rsidP="007967CE">
            <w:pPr>
              <w:jc w:val="both"/>
              <w:rPr>
                <w:rFonts w:ascii="Rockwell" w:hAnsi="Rockwell"/>
                <w:color w:val="000000"/>
                <w:sz w:val="22"/>
                <w:szCs w:val="22"/>
                <w:lang w:eastAsia="fr-FR"/>
              </w:rPr>
            </w:pPr>
            <w:r w:rsidRPr="006C1F9F">
              <w:rPr>
                <w:rFonts w:ascii="Rockwell" w:eastAsia="Calibri" w:hAnsi="Rockwell"/>
                <w:bCs/>
                <w:sz w:val="22"/>
                <w:szCs w:val="22"/>
              </w:rPr>
              <w:t>Chloramphenicole0.2% et acétate hydrocortisone 1%</w:t>
            </w:r>
          </w:p>
        </w:tc>
        <w:tc>
          <w:tcPr>
            <w:tcW w:w="719" w:type="pct"/>
          </w:tcPr>
          <w:p w14:paraId="05B5111A"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Pièce</w:t>
            </w:r>
          </w:p>
        </w:tc>
        <w:tc>
          <w:tcPr>
            <w:tcW w:w="1008" w:type="pct"/>
          </w:tcPr>
          <w:p w14:paraId="0E5DCD1E" w14:textId="77777777" w:rsidR="00D0008E" w:rsidRPr="006C1F9F" w:rsidRDefault="00D0008E" w:rsidP="007967CE">
            <w:pPr>
              <w:pStyle w:val="BodyText"/>
              <w:jc w:val="both"/>
              <w:rPr>
                <w:rFonts w:ascii="Rockwell" w:hAnsi="Rockwell"/>
                <w:sz w:val="22"/>
                <w:szCs w:val="22"/>
              </w:rPr>
            </w:pPr>
          </w:p>
        </w:tc>
        <w:tc>
          <w:tcPr>
            <w:tcW w:w="492" w:type="pct"/>
          </w:tcPr>
          <w:p w14:paraId="3F92B3FE" w14:textId="77777777" w:rsidR="00D0008E" w:rsidRPr="006C1F9F" w:rsidRDefault="00D0008E" w:rsidP="007967CE">
            <w:pPr>
              <w:pStyle w:val="BodyText"/>
              <w:jc w:val="both"/>
              <w:rPr>
                <w:rFonts w:ascii="Rockwell" w:hAnsi="Rockwell"/>
                <w:sz w:val="22"/>
                <w:szCs w:val="22"/>
              </w:rPr>
            </w:pPr>
          </w:p>
        </w:tc>
      </w:tr>
      <w:tr w:rsidR="00D0008E" w:rsidRPr="006C1F9F" w14:paraId="1BE58A71" w14:textId="77777777" w:rsidTr="007967CE">
        <w:trPr>
          <w:trHeight w:val="20"/>
        </w:trPr>
        <w:tc>
          <w:tcPr>
            <w:tcW w:w="862" w:type="pct"/>
            <w:vAlign w:val="center"/>
          </w:tcPr>
          <w:p w14:paraId="4EC48CAD"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Oxytetracycline 20%</w:t>
            </w:r>
          </w:p>
        </w:tc>
        <w:tc>
          <w:tcPr>
            <w:tcW w:w="1919" w:type="pct"/>
          </w:tcPr>
          <w:p w14:paraId="65559BCB"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200 mg/ml, solution huileuse, injectable d’oxytetracyclinihydrochloridum</w:t>
            </w:r>
          </w:p>
        </w:tc>
        <w:tc>
          <w:tcPr>
            <w:tcW w:w="719" w:type="pct"/>
          </w:tcPr>
          <w:p w14:paraId="20469782"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Flacon de 100 ml</w:t>
            </w:r>
          </w:p>
        </w:tc>
        <w:tc>
          <w:tcPr>
            <w:tcW w:w="1008" w:type="pct"/>
          </w:tcPr>
          <w:p w14:paraId="4F2F2B1F" w14:textId="77777777" w:rsidR="00D0008E" w:rsidRPr="006C1F9F" w:rsidRDefault="00D0008E" w:rsidP="007967CE">
            <w:pPr>
              <w:pStyle w:val="BodyText"/>
              <w:jc w:val="both"/>
              <w:rPr>
                <w:rFonts w:ascii="Rockwell" w:hAnsi="Rockwell"/>
                <w:sz w:val="22"/>
                <w:szCs w:val="22"/>
              </w:rPr>
            </w:pPr>
          </w:p>
        </w:tc>
        <w:tc>
          <w:tcPr>
            <w:tcW w:w="492" w:type="pct"/>
          </w:tcPr>
          <w:p w14:paraId="5F961662" w14:textId="77777777" w:rsidR="00D0008E" w:rsidRPr="006C1F9F" w:rsidRDefault="00D0008E" w:rsidP="007967CE">
            <w:pPr>
              <w:pStyle w:val="BodyText"/>
              <w:jc w:val="both"/>
              <w:rPr>
                <w:rFonts w:ascii="Rockwell" w:hAnsi="Rockwell"/>
                <w:sz w:val="22"/>
                <w:szCs w:val="22"/>
              </w:rPr>
            </w:pPr>
          </w:p>
        </w:tc>
      </w:tr>
      <w:tr w:rsidR="00D0008E" w:rsidRPr="006C1F9F" w14:paraId="5019C8E0" w14:textId="77777777" w:rsidTr="007967CE">
        <w:trPr>
          <w:trHeight w:val="20"/>
        </w:trPr>
        <w:tc>
          <w:tcPr>
            <w:tcW w:w="2781" w:type="pct"/>
            <w:gridSpan w:val="2"/>
            <w:vAlign w:val="center"/>
          </w:tcPr>
          <w:p w14:paraId="4FFCC68D" w14:textId="77777777" w:rsidR="00D0008E" w:rsidRPr="006C1F9F" w:rsidRDefault="00D0008E" w:rsidP="007967CE">
            <w:pPr>
              <w:pStyle w:val="BodyText"/>
              <w:spacing w:after="0"/>
              <w:rPr>
                <w:rFonts w:ascii="Rockwell" w:hAnsi="Rockwell"/>
                <w:color w:val="000000"/>
                <w:sz w:val="22"/>
                <w:szCs w:val="22"/>
                <w:lang w:eastAsia="fr-FR"/>
              </w:rPr>
            </w:pPr>
            <w:r w:rsidRPr="006C1F9F">
              <w:rPr>
                <w:rFonts w:ascii="Rockwell" w:hAnsi="Rockwell"/>
                <w:b/>
                <w:bCs/>
                <w:sz w:val="22"/>
                <w:szCs w:val="22"/>
              </w:rPr>
              <w:t>Produits vétérinaires : hormones et fortifiants</w:t>
            </w:r>
          </w:p>
        </w:tc>
        <w:tc>
          <w:tcPr>
            <w:tcW w:w="719" w:type="pct"/>
          </w:tcPr>
          <w:p w14:paraId="2F59DD39" w14:textId="77777777" w:rsidR="00D0008E" w:rsidRPr="006C1F9F" w:rsidRDefault="00D0008E" w:rsidP="007967CE">
            <w:pPr>
              <w:pStyle w:val="BodyText"/>
              <w:jc w:val="both"/>
              <w:rPr>
                <w:rFonts w:ascii="Rockwell" w:hAnsi="Rockwell"/>
                <w:sz w:val="22"/>
                <w:szCs w:val="22"/>
                <w:lang w:eastAsia="fr-FR"/>
              </w:rPr>
            </w:pPr>
          </w:p>
        </w:tc>
        <w:tc>
          <w:tcPr>
            <w:tcW w:w="1008" w:type="pct"/>
          </w:tcPr>
          <w:p w14:paraId="2588B0EB" w14:textId="77777777" w:rsidR="00D0008E" w:rsidRPr="006C1F9F" w:rsidRDefault="00D0008E" w:rsidP="007967CE">
            <w:pPr>
              <w:pStyle w:val="BodyText"/>
              <w:jc w:val="both"/>
              <w:rPr>
                <w:rFonts w:ascii="Rockwell" w:hAnsi="Rockwell"/>
                <w:sz w:val="22"/>
                <w:szCs w:val="22"/>
              </w:rPr>
            </w:pPr>
          </w:p>
        </w:tc>
        <w:tc>
          <w:tcPr>
            <w:tcW w:w="492" w:type="pct"/>
          </w:tcPr>
          <w:p w14:paraId="07F7FFB7" w14:textId="77777777" w:rsidR="00D0008E" w:rsidRPr="006C1F9F" w:rsidRDefault="00D0008E" w:rsidP="007967CE">
            <w:pPr>
              <w:pStyle w:val="BodyText"/>
              <w:jc w:val="both"/>
              <w:rPr>
                <w:rFonts w:ascii="Rockwell" w:hAnsi="Rockwell"/>
                <w:sz w:val="22"/>
                <w:szCs w:val="22"/>
              </w:rPr>
            </w:pPr>
          </w:p>
        </w:tc>
      </w:tr>
      <w:tr w:rsidR="00D0008E" w:rsidRPr="006C1F9F" w14:paraId="6D6E6E5F" w14:textId="77777777" w:rsidTr="007967CE">
        <w:trPr>
          <w:trHeight w:val="20"/>
        </w:trPr>
        <w:tc>
          <w:tcPr>
            <w:tcW w:w="862" w:type="pct"/>
            <w:vAlign w:val="center"/>
          </w:tcPr>
          <w:p w14:paraId="083C1876"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Prostaglandine</w:t>
            </w:r>
          </w:p>
        </w:tc>
        <w:tc>
          <w:tcPr>
            <w:tcW w:w="1919" w:type="pct"/>
          </w:tcPr>
          <w:p w14:paraId="04832D9A"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Base active Cloprosténol sodique 0,263 mg/ml</w:t>
            </w:r>
          </w:p>
        </w:tc>
        <w:tc>
          <w:tcPr>
            <w:tcW w:w="719" w:type="pct"/>
          </w:tcPr>
          <w:p w14:paraId="37793268"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Flacon de 20 ml</w:t>
            </w:r>
          </w:p>
        </w:tc>
        <w:tc>
          <w:tcPr>
            <w:tcW w:w="1008" w:type="pct"/>
          </w:tcPr>
          <w:p w14:paraId="3F8F81DE" w14:textId="77777777" w:rsidR="00D0008E" w:rsidRPr="006C1F9F" w:rsidRDefault="00D0008E" w:rsidP="007967CE">
            <w:pPr>
              <w:pStyle w:val="BodyText"/>
              <w:jc w:val="both"/>
              <w:rPr>
                <w:rFonts w:ascii="Rockwell" w:hAnsi="Rockwell"/>
                <w:sz w:val="22"/>
                <w:szCs w:val="22"/>
              </w:rPr>
            </w:pPr>
          </w:p>
        </w:tc>
        <w:tc>
          <w:tcPr>
            <w:tcW w:w="492" w:type="pct"/>
          </w:tcPr>
          <w:p w14:paraId="7F76036D" w14:textId="77777777" w:rsidR="00D0008E" w:rsidRPr="006C1F9F" w:rsidRDefault="00D0008E" w:rsidP="007967CE">
            <w:pPr>
              <w:pStyle w:val="BodyText"/>
              <w:jc w:val="both"/>
              <w:rPr>
                <w:rFonts w:ascii="Rockwell" w:hAnsi="Rockwell"/>
                <w:sz w:val="22"/>
                <w:szCs w:val="22"/>
              </w:rPr>
            </w:pPr>
          </w:p>
        </w:tc>
      </w:tr>
      <w:tr w:rsidR="00D0008E" w:rsidRPr="006C1F9F" w14:paraId="178F9F18" w14:textId="77777777" w:rsidTr="007967CE">
        <w:trPr>
          <w:trHeight w:val="20"/>
        </w:trPr>
        <w:tc>
          <w:tcPr>
            <w:tcW w:w="862" w:type="pct"/>
            <w:vAlign w:val="center"/>
          </w:tcPr>
          <w:p w14:paraId="408D236E"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Borogluconate de calcium</w:t>
            </w:r>
          </w:p>
        </w:tc>
        <w:tc>
          <w:tcPr>
            <w:tcW w:w="1919" w:type="pct"/>
          </w:tcPr>
          <w:p w14:paraId="0195029D"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 xml:space="preserve">19,14 mg/ml, solution injectable 23% de calcium, contenant 4,5% de magnésium, </w:t>
            </w:r>
            <w:r w:rsidRPr="006C1F9F">
              <w:rPr>
                <w:rFonts w:ascii="Rockwell" w:hAnsi="Rockwell"/>
                <w:i/>
                <w:color w:val="000000"/>
                <w:sz w:val="22"/>
                <w:szCs w:val="22"/>
                <w:lang w:eastAsia="fr-FR"/>
              </w:rPr>
              <w:t>importé d’Europe</w:t>
            </w:r>
          </w:p>
        </w:tc>
        <w:tc>
          <w:tcPr>
            <w:tcW w:w="719" w:type="pct"/>
          </w:tcPr>
          <w:p w14:paraId="4C91F7BB"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sz w:val="22"/>
                <w:szCs w:val="22"/>
                <w:lang w:eastAsia="fr-FR"/>
              </w:rPr>
              <w:t>Flacon de</w:t>
            </w:r>
            <w:r w:rsidRPr="006C1F9F">
              <w:rPr>
                <w:rFonts w:ascii="Rockwell" w:hAnsi="Rockwell"/>
                <w:i/>
                <w:iCs/>
                <w:sz w:val="22"/>
                <w:szCs w:val="22"/>
                <w:lang w:eastAsia="fr-FR"/>
              </w:rPr>
              <w:t xml:space="preserve"> 400 ou 450 ml</w:t>
            </w:r>
          </w:p>
        </w:tc>
        <w:tc>
          <w:tcPr>
            <w:tcW w:w="1008" w:type="pct"/>
          </w:tcPr>
          <w:p w14:paraId="16D9B1B4" w14:textId="77777777" w:rsidR="00D0008E" w:rsidRPr="006C1F9F" w:rsidRDefault="00D0008E" w:rsidP="007967CE">
            <w:pPr>
              <w:pStyle w:val="BodyText"/>
              <w:jc w:val="both"/>
              <w:rPr>
                <w:rFonts w:ascii="Rockwell" w:hAnsi="Rockwell"/>
                <w:sz w:val="22"/>
                <w:szCs w:val="22"/>
              </w:rPr>
            </w:pPr>
          </w:p>
        </w:tc>
        <w:tc>
          <w:tcPr>
            <w:tcW w:w="492" w:type="pct"/>
          </w:tcPr>
          <w:p w14:paraId="3883137E" w14:textId="77777777" w:rsidR="00D0008E" w:rsidRPr="006C1F9F" w:rsidRDefault="00D0008E" w:rsidP="007967CE">
            <w:pPr>
              <w:pStyle w:val="BodyText"/>
              <w:jc w:val="both"/>
              <w:rPr>
                <w:rFonts w:ascii="Rockwell" w:hAnsi="Rockwell"/>
                <w:sz w:val="22"/>
                <w:szCs w:val="22"/>
              </w:rPr>
            </w:pPr>
          </w:p>
        </w:tc>
      </w:tr>
      <w:tr w:rsidR="00D0008E" w:rsidRPr="006C1F9F" w14:paraId="3253D2BA" w14:textId="77777777" w:rsidTr="007967CE">
        <w:trPr>
          <w:trHeight w:val="20"/>
        </w:trPr>
        <w:tc>
          <w:tcPr>
            <w:tcW w:w="862" w:type="pct"/>
            <w:vAlign w:val="center"/>
          </w:tcPr>
          <w:p w14:paraId="7BD718C8"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Multivitamine</w:t>
            </w:r>
          </w:p>
        </w:tc>
        <w:tc>
          <w:tcPr>
            <w:tcW w:w="1919" w:type="pct"/>
          </w:tcPr>
          <w:p w14:paraId="05DEB249"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sz w:val="22"/>
                <w:szCs w:val="22"/>
                <w:lang w:eastAsia="fr-FR"/>
              </w:rPr>
              <w:t xml:space="preserve">Vitamines variées sous forme de solution injectable </w:t>
            </w:r>
            <w:r w:rsidRPr="006C1F9F">
              <w:rPr>
                <w:rFonts w:ascii="Rockwell" w:hAnsi="Rockwell"/>
                <w:i/>
                <w:iCs/>
                <w:sz w:val="22"/>
                <w:szCs w:val="22"/>
                <w:lang w:eastAsia="fr-FR"/>
              </w:rPr>
              <w:t>avec minimum 8 vitamines</w:t>
            </w:r>
          </w:p>
        </w:tc>
        <w:tc>
          <w:tcPr>
            <w:tcW w:w="719" w:type="pct"/>
          </w:tcPr>
          <w:p w14:paraId="4B6A5749"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Flacon de 100 ml</w:t>
            </w:r>
          </w:p>
        </w:tc>
        <w:tc>
          <w:tcPr>
            <w:tcW w:w="1008" w:type="pct"/>
          </w:tcPr>
          <w:p w14:paraId="49A37146" w14:textId="77777777" w:rsidR="00D0008E" w:rsidRPr="006C1F9F" w:rsidRDefault="00D0008E" w:rsidP="007967CE">
            <w:pPr>
              <w:pStyle w:val="BodyText"/>
              <w:jc w:val="both"/>
              <w:rPr>
                <w:rFonts w:ascii="Rockwell" w:hAnsi="Rockwell"/>
                <w:sz w:val="22"/>
                <w:szCs w:val="22"/>
              </w:rPr>
            </w:pPr>
          </w:p>
        </w:tc>
        <w:tc>
          <w:tcPr>
            <w:tcW w:w="492" w:type="pct"/>
          </w:tcPr>
          <w:p w14:paraId="1E3D5789" w14:textId="77777777" w:rsidR="00D0008E" w:rsidRPr="006C1F9F" w:rsidRDefault="00D0008E" w:rsidP="007967CE">
            <w:pPr>
              <w:pStyle w:val="BodyText"/>
              <w:jc w:val="both"/>
              <w:rPr>
                <w:rFonts w:ascii="Rockwell" w:hAnsi="Rockwell"/>
                <w:sz w:val="22"/>
                <w:szCs w:val="22"/>
              </w:rPr>
            </w:pPr>
          </w:p>
        </w:tc>
      </w:tr>
      <w:tr w:rsidR="00D0008E" w:rsidRPr="006C1F9F" w14:paraId="1E01DD24" w14:textId="77777777" w:rsidTr="007967CE">
        <w:trPr>
          <w:trHeight w:val="20"/>
        </w:trPr>
        <w:tc>
          <w:tcPr>
            <w:tcW w:w="862" w:type="pct"/>
            <w:vAlign w:val="center"/>
          </w:tcPr>
          <w:p w14:paraId="54C7E6A3"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 xml:space="preserve">Multivitamine </w:t>
            </w:r>
          </w:p>
        </w:tc>
        <w:tc>
          <w:tcPr>
            <w:tcW w:w="1919" w:type="pct"/>
          </w:tcPr>
          <w:p w14:paraId="13E7D67B"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sz w:val="22"/>
                <w:szCs w:val="22"/>
                <w:lang w:eastAsia="fr-FR"/>
              </w:rPr>
              <w:t>Vitamine AD3E</w:t>
            </w:r>
          </w:p>
        </w:tc>
        <w:tc>
          <w:tcPr>
            <w:tcW w:w="719" w:type="pct"/>
          </w:tcPr>
          <w:p w14:paraId="401BE94D"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Flacon de 100 ml</w:t>
            </w:r>
          </w:p>
        </w:tc>
        <w:tc>
          <w:tcPr>
            <w:tcW w:w="1008" w:type="pct"/>
          </w:tcPr>
          <w:p w14:paraId="09D206CB" w14:textId="77777777" w:rsidR="00D0008E" w:rsidRPr="006C1F9F" w:rsidRDefault="00D0008E" w:rsidP="007967CE">
            <w:pPr>
              <w:pStyle w:val="BodyText"/>
              <w:jc w:val="both"/>
              <w:rPr>
                <w:rFonts w:ascii="Rockwell" w:hAnsi="Rockwell"/>
                <w:sz w:val="22"/>
                <w:szCs w:val="22"/>
              </w:rPr>
            </w:pPr>
          </w:p>
        </w:tc>
        <w:tc>
          <w:tcPr>
            <w:tcW w:w="492" w:type="pct"/>
          </w:tcPr>
          <w:p w14:paraId="595B48BA" w14:textId="77777777" w:rsidR="00D0008E" w:rsidRPr="006C1F9F" w:rsidRDefault="00D0008E" w:rsidP="007967CE">
            <w:pPr>
              <w:pStyle w:val="BodyText"/>
              <w:jc w:val="both"/>
              <w:rPr>
                <w:rFonts w:ascii="Rockwell" w:hAnsi="Rockwell"/>
                <w:sz w:val="22"/>
                <w:szCs w:val="22"/>
              </w:rPr>
            </w:pPr>
          </w:p>
        </w:tc>
      </w:tr>
      <w:tr w:rsidR="00D0008E" w:rsidRPr="006C1F9F" w14:paraId="463EB96A" w14:textId="77777777" w:rsidTr="007967CE">
        <w:trPr>
          <w:trHeight w:val="20"/>
        </w:trPr>
        <w:tc>
          <w:tcPr>
            <w:tcW w:w="2781" w:type="pct"/>
            <w:gridSpan w:val="2"/>
            <w:vAlign w:val="center"/>
          </w:tcPr>
          <w:p w14:paraId="488D7230" w14:textId="77777777" w:rsidR="00D0008E" w:rsidRPr="006C1F9F" w:rsidRDefault="00D0008E" w:rsidP="007967CE">
            <w:pPr>
              <w:pStyle w:val="BodyText"/>
              <w:spacing w:after="0"/>
              <w:rPr>
                <w:rFonts w:ascii="Rockwell" w:hAnsi="Rockwell"/>
                <w:b/>
                <w:bCs/>
                <w:color w:val="000000"/>
                <w:sz w:val="22"/>
                <w:szCs w:val="22"/>
                <w:lang w:eastAsia="fr-FR"/>
              </w:rPr>
            </w:pPr>
            <w:r w:rsidRPr="006C1F9F">
              <w:rPr>
                <w:rFonts w:ascii="Rockwell" w:hAnsi="Rockwell"/>
                <w:b/>
                <w:bCs/>
                <w:sz w:val="22"/>
                <w:szCs w:val="22"/>
              </w:rPr>
              <w:t xml:space="preserve">Produits vétérinaires : antiparasitaires internes, externe et antidotes </w:t>
            </w:r>
          </w:p>
        </w:tc>
        <w:tc>
          <w:tcPr>
            <w:tcW w:w="719" w:type="pct"/>
          </w:tcPr>
          <w:p w14:paraId="7562798B" w14:textId="77777777" w:rsidR="00D0008E" w:rsidRPr="006C1F9F" w:rsidRDefault="00D0008E" w:rsidP="007967CE">
            <w:pPr>
              <w:pStyle w:val="BodyText"/>
              <w:jc w:val="both"/>
              <w:rPr>
                <w:rFonts w:ascii="Rockwell" w:hAnsi="Rockwell"/>
                <w:sz w:val="22"/>
                <w:szCs w:val="22"/>
                <w:lang w:eastAsia="fr-FR"/>
              </w:rPr>
            </w:pPr>
          </w:p>
        </w:tc>
        <w:tc>
          <w:tcPr>
            <w:tcW w:w="1008" w:type="pct"/>
          </w:tcPr>
          <w:p w14:paraId="5DDDCF17" w14:textId="77777777" w:rsidR="00D0008E" w:rsidRPr="006C1F9F" w:rsidRDefault="00D0008E" w:rsidP="007967CE">
            <w:pPr>
              <w:pStyle w:val="BodyText"/>
              <w:jc w:val="both"/>
              <w:rPr>
                <w:rFonts w:ascii="Rockwell" w:hAnsi="Rockwell"/>
                <w:sz w:val="22"/>
                <w:szCs w:val="22"/>
              </w:rPr>
            </w:pPr>
          </w:p>
        </w:tc>
        <w:tc>
          <w:tcPr>
            <w:tcW w:w="492" w:type="pct"/>
          </w:tcPr>
          <w:p w14:paraId="215EA077" w14:textId="77777777" w:rsidR="00D0008E" w:rsidRPr="006C1F9F" w:rsidRDefault="00D0008E" w:rsidP="007967CE">
            <w:pPr>
              <w:pStyle w:val="BodyText"/>
              <w:jc w:val="both"/>
              <w:rPr>
                <w:rFonts w:ascii="Rockwell" w:hAnsi="Rockwell"/>
                <w:sz w:val="22"/>
                <w:szCs w:val="22"/>
              </w:rPr>
            </w:pPr>
          </w:p>
        </w:tc>
      </w:tr>
      <w:tr w:rsidR="00D0008E" w:rsidRPr="006C1F9F" w14:paraId="0A20F45E" w14:textId="77777777" w:rsidTr="007967CE">
        <w:trPr>
          <w:trHeight w:val="20"/>
        </w:trPr>
        <w:tc>
          <w:tcPr>
            <w:tcW w:w="862" w:type="pct"/>
            <w:vAlign w:val="center"/>
          </w:tcPr>
          <w:p w14:paraId="6F5BFC95"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Albendazole</w:t>
            </w:r>
          </w:p>
        </w:tc>
        <w:tc>
          <w:tcPr>
            <w:tcW w:w="1919" w:type="pct"/>
          </w:tcPr>
          <w:p w14:paraId="36F5E19B"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2500 mg par bolus d’albendazole</w:t>
            </w:r>
          </w:p>
        </w:tc>
        <w:tc>
          <w:tcPr>
            <w:tcW w:w="719" w:type="pct"/>
          </w:tcPr>
          <w:p w14:paraId="11DCCC5B"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 xml:space="preserve">Bolus </w:t>
            </w:r>
          </w:p>
        </w:tc>
        <w:tc>
          <w:tcPr>
            <w:tcW w:w="1008" w:type="pct"/>
          </w:tcPr>
          <w:p w14:paraId="5E9878C0" w14:textId="77777777" w:rsidR="00D0008E" w:rsidRPr="006C1F9F" w:rsidRDefault="00D0008E" w:rsidP="007967CE">
            <w:pPr>
              <w:pStyle w:val="BodyText"/>
              <w:jc w:val="both"/>
              <w:rPr>
                <w:rFonts w:ascii="Rockwell" w:hAnsi="Rockwell"/>
                <w:sz w:val="22"/>
                <w:szCs w:val="22"/>
              </w:rPr>
            </w:pPr>
          </w:p>
        </w:tc>
        <w:tc>
          <w:tcPr>
            <w:tcW w:w="492" w:type="pct"/>
          </w:tcPr>
          <w:p w14:paraId="1A5D58B6" w14:textId="77777777" w:rsidR="00D0008E" w:rsidRPr="006C1F9F" w:rsidRDefault="00D0008E" w:rsidP="007967CE">
            <w:pPr>
              <w:pStyle w:val="BodyText"/>
              <w:jc w:val="both"/>
              <w:rPr>
                <w:rFonts w:ascii="Rockwell" w:hAnsi="Rockwell"/>
                <w:sz w:val="22"/>
                <w:szCs w:val="22"/>
              </w:rPr>
            </w:pPr>
          </w:p>
        </w:tc>
      </w:tr>
      <w:tr w:rsidR="00D0008E" w:rsidRPr="006C1F9F" w14:paraId="5B4DE5CE" w14:textId="77777777" w:rsidTr="007967CE">
        <w:trPr>
          <w:trHeight w:val="20"/>
        </w:trPr>
        <w:tc>
          <w:tcPr>
            <w:tcW w:w="862" w:type="pct"/>
            <w:vAlign w:val="center"/>
          </w:tcPr>
          <w:p w14:paraId="2D4B811B"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Douvicide</w:t>
            </w:r>
          </w:p>
        </w:tc>
        <w:tc>
          <w:tcPr>
            <w:tcW w:w="1919" w:type="pct"/>
          </w:tcPr>
          <w:p w14:paraId="44A4C32C"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Nitroxynil 340 mg/ml</w:t>
            </w:r>
          </w:p>
        </w:tc>
        <w:tc>
          <w:tcPr>
            <w:tcW w:w="719" w:type="pct"/>
          </w:tcPr>
          <w:p w14:paraId="7FE04B11"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sz w:val="22"/>
                <w:szCs w:val="22"/>
                <w:lang w:eastAsia="fr-FR"/>
              </w:rPr>
              <w:t>Flacon de</w:t>
            </w:r>
            <w:r w:rsidRPr="006C1F9F">
              <w:rPr>
                <w:rFonts w:ascii="Rockwell" w:hAnsi="Rockwell"/>
                <w:i/>
                <w:iCs/>
                <w:sz w:val="22"/>
                <w:szCs w:val="22"/>
                <w:lang w:eastAsia="fr-FR"/>
              </w:rPr>
              <w:t xml:space="preserve"> 50 ml</w:t>
            </w:r>
          </w:p>
        </w:tc>
        <w:tc>
          <w:tcPr>
            <w:tcW w:w="1008" w:type="pct"/>
          </w:tcPr>
          <w:p w14:paraId="5AACD471" w14:textId="77777777" w:rsidR="00D0008E" w:rsidRPr="006C1F9F" w:rsidRDefault="00D0008E" w:rsidP="007967CE">
            <w:pPr>
              <w:pStyle w:val="BodyText"/>
              <w:jc w:val="both"/>
              <w:rPr>
                <w:rFonts w:ascii="Rockwell" w:hAnsi="Rockwell"/>
                <w:sz w:val="22"/>
                <w:szCs w:val="22"/>
              </w:rPr>
            </w:pPr>
          </w:p>
        </w:tc>
        <w:tc>
          <w:tcPr>
            <w:tcW w:w="492" w:type="pct"/>
          </w:tcPr>
          <w:p w14:paraId="335EEA43" w14:textId="77777777" w:rsidR="00D0008E" w:rsidRPr="006C1F9F" w:rsidRDefault="00D0008E" w:rsidP="007967CE">
            <w:pPr>
              <w:pStyle w:val="BodyText"/>
              <w:jc w:val="both"/>
              <w:rPr>
                <w:rFonts w:ascii="Rockwell" w:hAnsi="Rockwell"/>
                <w:sz w:val="22"/>
                <w:szCs w:val="22"/>
              </w:rPr>
            </w:pPr>
          </w:p>
        </w:tc>
      </w:tr>
      <w:tr w:rsidR="00D0008E" w:rsidRPr="006C1F9F" w14:paraId="5F0DE090" w14:textId="77777777" w:rsidTr="007967CE">
        <w:trPr>
          <w:trHeight w:val="20"/>
        </w:trPr>
        <w:tc>
          <w:tcPr>
            <w:tcW w:w="862" w:type="pct"/>
            <w:vAlign w:val="center"/>
          </w:tcPr>
          <w:p w14:paraId="5675E507"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 xml:space="preserve">Ivermectine </w:t>
            </w:r>
          </w:p>
        </w:tc>
        <w:tc>
          <w:tcPr>
            <w:tcW w:w="1919" w:type="pct"/>
          </w:tcPr>
          <w:p w14:paraId="03E02B8B" w14:textId="77777777" w:rsidR="00D0008E" w:rsidRPr="006C1F9F" w:rsidRDefault="00D0008E" w:rsidP="007967CE">
            <w:pPr>
              <w:rPr>
                <w:rFonts w:ascii="Rockwell" w:hAnsi="Rockwell"/>
                <w:bCs/>
                <w:sz w:val="22"/>
                <w:szCs w:val="22"/>
              </w:rPr>
            </w:pPr>
            <w:r w:rsidRPr="006C1F9F">
              <w:rPr>
                <w:rFonts w:ascii="Rockwell" w:hAnsi="Rockwell"/>
                <w:bCs/>
                <w:sz w:val="22"/>
                <w:szCs w:val="22"/>
              </w:rPr>
              <w:t xml:space="preserve">Ivermectin 10mg, </w:t>
            </w:r>
          </w:p>
          <w:p w14:paraId="49F3197C"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bCs/>
                <w:sz w:val="22"/>
                <w:szCs w:val="22"/>
              </w:rPr>
              <w:t xml:space="preserve">Benzyl alcohol 9 mg </w:t>
            </w:r>
          </w:p>
        </w:tc>
        <w:tc>
          <w:tcPr>
            <w:tcW w:w="719" w:type="pct"/>
          </w:tcPr>
          <w:p w14:paraId="0E258769"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Flacon de 50 ml</w:t>
            </w:r>
          </w:p>
        </w:tc>
        <w:tc>
          <w:tcPr>
            <w:tcW w:w="1008" w:type="pct"/>
          </w:tcPr>
          <w:p w14:paraId="50C8870F" w14:textId="77777777" w:rsidR="00D0008E" w:rsidRPr="006C1F9F" w:rsidRDefault="00D0008E" w:rsidP="007967CE">
            <w:pPr>
              <w:pStyle w:val="BodyText"/>
              <w:jc w:val="both"/>
              <w:rPr>
                <w:rFonts w:ascii="Rockwell" w:hAnsi="Rockwell"/>
                <w:sz w:val="22"/>
                <w:szCs w:val="22"/>
              </w:rPr>
            </w:pPr>
          </w:p>
        </w:tc>
        <w:tc>
          <w:tcPr>
            <w:tcW w:w="492" w:type="pct"/>
          </w:tcPr>
          <w:p w14:paraId="37F221F7" w14:textId="77777777" w:rsidR="00D0008E" w:rsidRPr="006C1F9F" w:rsidRDefault="00D0008E" w:rsidP="007967CE">
            <w:pPr>
              <w:pStyle w:val="BodyText"/>
              <w:jc w:val="both"/>
              <w:rPr>
                <w:rFonts w:ascii="Rockwell" w:hAnsi="Rockwell"/>
                <w:sz w:val="22"/>
                <w:szCs w:val="22"/>
              </w:rPr>
            </w:pPr>
          </w:p>
        </w:tc>
      </w:tr>
      <w:tr w:rsidR="00D0008E" w:rsidRPr="006C1F9F" w14:paraId="121A0CDD" w14:textId="77777777" w:rsidTr="007967CE">
        <w:trPr>
          <w:trHeight w:val="20"/>
        </w:trPr>
        <w:tc>
          <w:tcPr>
            <w:tcW w:w="862" w:type="pct"/>
            <w:vAlign w:val="center"/>
          </w:tcPr>
          <w:p w14:paraId="326CDA5E"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Acaricide</w:t>
            </w:r>
          </w:p>
        </w:tc>
        <w:tc>
          <w:tcPr>
            <w:tcW w:w="1919" w:type="pct"/>
          </w:tcPr>
          <w:p w14:paraId="15020AC3"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Base active : Cyperméthrine 100 mg/ml</w:t>
            </w:r>
          </w:p>
        </w:tc>
        <w:tc>
          <w:tcPr>
            <w:tcW w:w="719" w:type="pct"/>
          </w:tcPr>
          <w:p w14:paraId="0A63A0AD"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Flacon de 100 ml</w:t>
            </w:r>
          </w:p>
        </w:tc>
        <w:tc>
          <w:tcPr>
            <w:tcW w:w="1008" w:type="pct"/>
          </w:tcPr>
          <w:p w14:paraId="2B17CB6A" w14:textId="77777777" w:rsidR="00D0008E" w:rsidRPr="006C1F9F" w:rsidRDefault="00D0008E" w:rsidP="007967CE">
            <w:pPr>
              <w:pStyle w:val="BodyText"/>
              <w:jc w:val="both"/>
              <w:rPr>
                <w:rFonts w:ascii="Rockwell" w:hAnsi="Rockwell"/>
                <w:sz w:val="22"/>
                <w:szCs w:val="22"/>
              </w:rPr>
            </w:pPr>
          </w:p>
        </w:tc>
        <w:tc>
          <w:tcPr>
            <w:tcW w:w="492" w:type="pct"/>
          </w:tcPr>
          <w:p w14:paraId="4AE36EAF" w14:textId="77777777" w:rsidR="00D0008E" w:rsidRPr="006C1F9F" w:rsidRDefault="00D0008E" w:rsidP="007967CE">
            <w:pPr>
              <w:pStyle w:val="BodyText"/>
              <w:jc w:val="both"/>
              <w:rPr>
                <w:rFonts w:ascii="Rockwell" w:hAnsi="Rockwell"/>
                <w:sz w:val="22"/>
                <w:szCs w:val="22"/>
              </w:rPr>
            </w:pPr>
          </w:p>
        </w:tc>
      </w:tr>
      <w:tr w:rsidR="00D0008E" w:rsidRPr="006C1F9F" w14:paraId="11D09AB5" w14:textId="77777777" w:rsidTr="007967CE">
        <w:trPr>
          <w:trHeight w:val="20"/>
        </w:trPr>
        <w:tc>
          <w:tcPr>
            <w:tcW w:w="862" w:type="pct"/>
            <w:vAlign w:val="center"/>
          </w:tcPr>
          <w:p w14:paraId="0C6C333C"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 xml:space="preserve">Sulfate d’atropine </w:t>
            </w:r>
          </w:p>
        </w:tc>
        <w:tc>
          <w:tcPr>
            <w:tcW w:w="1919" w:type="pct"/>
          </w:tcPr>
          <w:p w14:paraId="2DF63A13"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bCs/>
                <w:sz w:val="22"/>
                <w:szCs w:val="22"/>
              </w:rPr>
              <w:t xml:space="preserve">Solution injectable d’Atropine sulfate 1mg de sodium metabisulphite (antioxydant) 0,1%. </w:t>
            </w:r>
          </w:p>
        </w:tc>
        <w:tc>
          <w:tcPr>
            <w:tcW w:w="719" w:type="pct"/>
          </w:tcPr>
          <w:p w14:paraId="5A1EA3FF"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Flacon de 100 ml</w:t>
            </w:r>
          </w:p>
        </w:tc>
        <w:tc>
          <w:tcPr>
            <w:tcW w:w="1008" w:type="pct"/>
          </w:tcPr>
          <w:p w14:paraId="64865735" w14:textId="77777777" w:rsidR="00D0008E" w:rsidRPr="006C1F9F" w:rsidRDefault="00D0008E" w:rsidP="007967CE">
            <w:pPr>
              <w:pStyle w:val="BodyText"/>
              <w:jc w:val="both"/>
              <w:rPr>
                <w:rFonts w:ascii="Rockwell" w:hAnsi="Rockwell"/>
                <w:sz w:val="22"/>
                <w:szCs w:val="22"/>
              </w:rPr>
            </w:pPr>
          </w:p>
        </w:tc>
        <w:tc>
          <w:tcPr>
            <w:tcW w:w="492" w:type="pct"/>
          </w:tcPr>
          <w:p w14:paraId="10CC89D6" w14:textId="77777777" w:rsidR="00D0008E" w:rsidRPr="006C1F9F" w:rsidRDefault="00D0008E" w:rsidP="007967CE">
            <w:pPr>
              <w:pStyle w:val="BodyText"/>
              <w:jc w:val="both"/>
              <w:rPr>
                <w:rFonts w:ascii="Rockwell" w:hAnsi="Rockwell"/>
                <w:sz w:val="22"/>
                <w:szCs w:val="22"/>
              </w:rPr>
            </w:pPr>
          </w:p>
        </w:tc>
      </w:tr>
      <w:tr w:rsidR="00D0008E" w:rsidRPr="006C1F9F" w14:paraId="62DE8A57" w14:textId="77777777" w:rsidTr="007967CE">
        <w:trPr>
          <w:trHeight w:val="20"/>
        </w:trPr>
        <w:tc>
          <w:tcPr>
            <w:tcW w:w="2781" w:type="pct"/>
            <w:gridSpan w:val="2"/>
            <w:vAlign w:val="center"/>
          </w:tcPr>
          <w:p w14:paraId="0ACBBB91" w14:textId="77777777" w:rsidR="00D0008E" w:rsidRPr="006C1F9F" w:rsidRDefault="00D0008E" w:rsidP="007967CE">
            <w:pPr>
              <w:jc w:val="both"/>
              <w:rPr>
                <w:rFonts w:ascii="Rockwell" w:hAnsi="Rockwell"/>
                <w:b/>
                <w:bCs/>
                <w:color w:val="000000"/>
                <w:sz w:val="22"/>
                <w:szCs w:val="22"/>
                <w:lang w:eastAsia="fr-FR"/>
              </w:rPr>
            </w:pPr>
            <w:r w:rsidRPr="006C1F9F">
              <w:rPr>
                <w:rFonts w:ascii="Rockwell" w:hAnsi="Rockwell"/>
                <w:b/>
                <w:bCs/>
                <w:sz w:val="22"/>
                <w:szCs w:val="22"/>
              </w:rPr>
              <w:t>Matériel vétérinaires</w:t>
            </w:r>
          </w:p>
        </w:tc>
        <w:tc>
          <w:tcPr>
            <w:tcW w:w="719" w:type="pct"/>
          </w:tcPr>
          <w:p w14:paraId="44E76ACA" w14:textId="77777777" w:rsidR="00D0008E" w:rsidRPr="006C1F9F" w:rsidRDefault="00D0008E" w:rsidP="007967CE">
            <w:pPr>
              <w:pStyle w:val="BodyText"/>
              <w:jc w:val="both"/>
              <w:rPr>
                <w:rFonts w:ascii="Rockwell" w:hAnsi="Rockwell"/>
                <w:sz w:val="22"/>
                <w:szCs w:val="22"/>
                <w:lang w:eastAsia="fr-FR"/>
              </w:rPr>
            </w:pPr>
          </w:p>
        </w:tc>
        <w:tc>
          <w:tcPr>
            <w:tcW w:w="1008" w:type="pct"/>
          </w:tcPr>
          <w:p w14:paraId="7CF89B4D" w14:textId="77777777" w:rsidR="00D0008E" w:rsidRPr="006C1F9F" w:rsidRDefault="00D0008E" w:rsidP="007967CE">
            <w:pPr>
              <w:pStyle w:val="BodyText"/>
              <w:jc w:val="both"/>
              <w:rPr>
                <w:rFonts w:ascii="Rockwell" w:hAnsi="Rockwell"/>
                <w:sz w:val="22"/>
                <w:szCs w:val="22"/>
              </w:rPr>
            </w:pPr>
          </w:p>
        </w:tc>
        <w:tc>
          <w:tcPr>
            <w:tcW w:w="492" w:type="pct"/>
          </w:tcPr>
          <w:p w14:paraId="686AC398" w14:textId="77777777" w:rsidR="00D0008E" w:rsidRPr="006C1F9F" w:rsidRDefault="00D0008E" w:rsidP="007967CE">
            <w:pPr>
              <w:pStyle w:val="BodyText"/>
              <w:jc w:val="both"/>
              <w:rPr>
                <w:rFonts w:ascii="Rockwell" w:hAnsi="Rockwell"/>
                <w:sz w:val="22"/>
                <w:szCs w:val="22"/>
              </w:rPr>
            </w:pPr>
          </w:p>
        </w:tc>
      </w:tr>
      <w:tr w:rsidR="00D0008E" w:rsidRPr="006C1F9F" w14:paraId="38AB1766" w14:textId="77777777" w:rsidTr="007967CE">
        <w:trPr>
          <w:trHeight w:val="20"/>
        </w:trPr>
        <w:tc>
          <w:tcPr>
            <w:tcW w:w="862" w:type="pct"/>
            <w:vAlign w:val="center"/>
          </w:tcPr>
          <w:p w14:paraId="0E6E0992"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Thermomètre digital</w:t>
            </w:r>
          </w:p>
        </w:tc>
        <w:tc>
          <w:tcPr>
            <w:tcW w:w="1919" w:type="pct"/>
          </w:tcPr>
          <w:p w14:paraId="2E71D0F9"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Digital exprimant la température en degré Celsius avec alarme sonore à la fin de la thermométrie.</w:t>
            </w:r>
          </w:p>
        </w:tc>
        <w:tc>
          <w:tcPr>
            <w:tcW w:w="719" w:type="pct"/>
          </w:tcPr>
          <w:p w14:paraId="5F6ABD5E"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Pièce</w:t>
            </w:r>
          </w:p>
        </w:tc>
        <w:tc>
          <w:tcPr>
            <w:tcW w:w="1008" w:type="pct"/>
          </w:tcPr>
          <w:p w14:paraId="1CEFA1FB" w14:textId="77777777" w:rsidR="00D0008E" w:rsidRPr="006C1F9F" w:rsidRDefault="00D0008E" w:rsidP="007967CE">
            <w:pPr>
              <w:pStyle w:val="BodyText"/>
              <w:jc w:val="both"/>
              <w:rPr>
                <w:rFonts w:ascii="Rockwell" w:hAnsi="Rockwell"/>
                <w:sz w:val="22"/>
                <w:szCs w:val="22"/>
              </w:rPr>
            </w:pPr>
          </w:p>
        </w:tc>
        <w:tc>
          <w:tcPr>
            <w:tcW w:w="492" w:type="pct"/>
          </w:tcPr>
          <w:p w14:paraId="3025E410" w14:textId="77777777" w:rsidR="00D0008E" w:rsidRPr="006C1F9F" w:rsidRDefault="00D0008E" w:rsidP="007967CE">
            <w:pPr>
              <w:pStyle w:val="BodyText"/>
              <w:jc w:val="both"/>
              <w:rPr>
                <w:rFonts w:ascii="Rockwell" w:hAnsi="Rockwell"/>
                <w:sz w:val="22"/>
                <w:szCs w:val="22"/>
              </w:rPr>
            </w:pPr>
          </w:p>
        </w:tc>
      </w:tr>
      <w:tr w:rsidR="00D0008E" w:rsidRPr="006C1F9F" w14:paraId="08502B48" w14:textId="77777777" w:rsidTr="007967CE">
        <w:trPr>
          <w:trHeight w:val="20"/>
        </w:trPr>
        <w:tc>
          <w:tcPr>
            <w:tcW w:w="862" w:type="pct"/>
            <w:vAlign w:val="center"/>
          </w:tcPr>
          <w:p w14:paraId="16AD78E0"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Seringue</w:t>
            </w:r>
          </w:p>
        </w:tc>
        <w:tc>
          <w:tcPr>
            <w:tcW w:w="1919" w:type="pct"/>
          </w:tcPr>
          <w:p w14:paraId="1802F488"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En nylon, volume de 20 ml, avec embout luer, graduations indélébiles en relief, résistance à l’eau bouillante et stérilisable, joints plats très résistants.</w:t>
            </w:r>
          </w:p>
        </w:tc>
        <w:tc>
          <w:tcPr>
            <w:tcW w:w="719" w:type="pct"/>
          </w:tcPr>
          <w:p w14:paraId="446BC000"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Pièce</w:t>
            </w:r>
          </w:p>
        </w:tc>
        <w:tc>
          <w:tcPr>
            <w:tcW w:w="1008" w:type="pct"/>
          </w:tcPr>
          <w:p w14:paraId="74B19B7C" w14:textId="77777777" w:rsidR="00D0008E" w:rsidRPr="006C1F9F" w:rsidRDefault="00D0008E" w:rsidP="007967CE">
            <w:pPr>
              <w:pStyle w:val="BodyText"/>
              <w:jc w:val="both"/>
              <w:rPr>
                <w:rFonts w:ascii="Rockwell" w:hAnsi="Rockwell"/>
                <w:sz w:val="22"/>
                <w:szCs w:val="22"/>
              </w:rPr>
            </w:pPr>
          </w:p>
        </w:tc>
        <w:tc>
          <w:tcPr>
            <w:tcW w:w="492" w:type="pct"/>
          </w:tcPr>
          <w:p w14:paraId="5CA6DBEE" w14:textId="77777777" w:rsidR="00D0008E" w:rsidRPr="006C1F9F" w:rsidRDefault="00D0008E" w:rsidP="007967CE">
            <w:pPr>
              <w:pStyle w:val="BodyText"/>
              <w:jc w:val="both"/>
              <w:rPr>
                <w:rFonts w:ascii="Rockwell" w:hAnsi="Rockwell"/>
                <w:sz w:val="22"/>
                <w:szCs w:val="22"/>
              </w:rPr>
            </w:pPr>
          </w:p>
        </w:tc>
      </w:tr>
      <w:tr w:rsidR="00D0008E" w:rsidRPr="006C1F9F" w14:paraId="4844AC31" w14:textId="77777777" w:rsidTr="007967CE">
        <w:trPr>
          <w:trHeight w:val="20"/>
        </w:trPr>
        <w:tc>
          <w:tcPr>
            <w:tcW w:w="862" w:type="pct"/>
            <w:vAlign w:val="center"/>
          </w:tcPr>
          <w:p w14:paraId="06991944"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Aiguilles</w:t>
            </w:r>
          </w:p>
        </w:tc>
        <w:tc>
          <w:tcPr>
            <w:tcW w:w="1919" w:type="pct"/>
          </w:tcPr>
          <w:p w14:paraId="3A6AEA58"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FR"/>
              </w:rPr>
              <w:t>Embout luer, 16 G, en inox, stérilisable</w:t>
            </w:r>
          </w:p>
        </w:tc>
        <w:tc>
          <w:tcPr>
            <w:tcW w:w="719" w:type="pct"/>
          </w:tcPr>
          <w:p w14:paraId="32AD04FE"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Pièce</w:t>
            </w:r>
          </w:p>
        </w:tc>
        <w:tc>
          <w:tcPr>
            <w:tcW w:w="1008" w:type="pct"/>
          </w:tcPr>
          <w:p w14:paraId="32A541A4" w14:textId="77777777" w:rsidR="00D0008E" w:rsidRPr="006C1F9F" w:rsidRDefault="00D0008E" w:rsidP="007967CE">
            <w:pPr>
              <w:pStyle w:val="BodyText"/>
              <w:jc w:val="both"/>
              <w:rPr>
                <w:rFonts w:ascii="Rockwell" w:hAnsi="Rockwell"/>
                <w:sz w:val="22"/>
                <w:szCs w:val="22"/>
              </w:rPr>
            </w:pPr>
          </w:p>
        </w:tc>
        <w:tc>
          <w:tcPr>
            <w:tcW w:w="492" w:type="pct"/>
          </w:tcPr>
          <w:p w14:paraId="08D4015B" w14:textId="77777777" w:rsidR="00D0008E" w:rsidRPr="006C1F9F" w:rsidRDefault="00D0008E" w:rsidP="007967CE">
            <w:pPr>
              <w:pStyle w:val="BodyText"/>
              <w:jc w:val="both"/>
              <w:rPr>
                <w:rFonts w:ascii="Rockwell" w:hAnsi="Rockwell"/>
                <w:sz w:val="22"/>
                <w:szCs w:val="22"/>
              </w:rPr>
            </w:pPr>
          </w:p>
        </w:tc>
      </w:tr>
      <w:tr w:rsidR="00D0008E" w:rsidRPr="006C1F9F" w14:paraId="60A3517C" w14:textId="77777777" w:rsidTr="007967CE">
        <w:trPr>
          <w:trHeight w:val="20"/>
        </w:trPr>
        <w:tc>
          <w:tcPr>
            <w:tcW w:w="862" w:type="pct"/>
            <w:vAlign w:val="center"/>
          </w:tcPr>
          <w:p w14:paraId="0D8EAD1E"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lastRenderedPageBreak/>
              <w:t>Ruban pèse-bétail</w:t>
            </w:r>
          </w:p>
        </w:tc>
        <w:tc>
          <w:tcPr>
            <w:tcW w:w="1919" w:type="pct"/>
          </w:tcPr>
          <w:p w14:paraId="35941F28"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sz w:val="22"/>
                <w:szCs w:val="22"/>
                <w:lang w:eastAsia="fr-FR"/>
              </w:rPr>
              <w:t>En toile, souple, résistant, indéchirable, d’une longueur de 2,50 mètres, nettoyable, comportant 2 faces dont l’une indique une échelle métrique et l’autre deux tableaux à savoir la circonférence du porc avec le poids vif et l’autre tableau indiquant le poids vif d’un bovin engraissé ou standard.</w:t>
            </w:r>
          </w:p>
        </w:tc>
        <w:tc>
          <w:tcPr>
            <w:tcW w:w="719" w:type="pct"/>
          </w:tcPr>
          <w:p w14:paraId="0E7C1168"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 xml:space="preserve">Pièce </w:t>
            </w:r>
          </w:p>
        </w:tc>
        <w:tc>
          <w:tcPr>
            <w:tcW w:w="1008" w:type="pct"/>
          </w:tcPr>
          <w:p w14:paraId="48B48E62" w14:textId="77777777" w:rsidR="00D0008E" w:rsidRPr="006C1F9F" w:rsidRDefault="00D0008E" w:rsidP="007967CE">
            <w:pPr>
              <w:pStyle w:val="BodyText"/>
              <w:jc w:val="both"/>
              <w:rPr>
                <w:rFonts w:ascii="Rockwell" w:hAnsi="Rockwell"/>
                <w:sz w:val="22"/>
                <w:szCs w:val="22"/>
              </w:rPr>
            </w:pPr>
          </w:p>
        </w:tc>
        <w:tc>
          <w:tcPr>
            <w:tcW w:w="492" w:type="pct"/>
          </w:tcPr>
          <w:p w14:paraId="51C72A01" w14:textId="77777777" w:rsidR="00D0008E" w:rsidRPr="006C1F9F" w:rsidRDefault="00D0008E" w:rsidP="007967CE">
            <w:pPr>
              <w:pStyle w:val="BodyText"/>
              <w:jc w:val="both"/>
              <w:rPr>
                <w:rFonts w:ascii="Rockwell" w:hAnsi="Rockwell"/>
                <w:sz w:val="22"/>
                <w:szCs w:val="22"/>
              </w:rPr>
            </w:pPr>
          </w:p>
        </w:tc>
      </w:tr>
      <w:tr w:rsidR="00D0008E" w:rsidRPr="006C1F9F" w14:paraId="1795607B" w14:textId="77777777" w:rsidTr="007967CE">
        <w:trPr>
          <w:trHeight w:val="20"/>
        </w:trPr>
        <w:tc>
          <w:tcPr>
            <w:tcW w:w="862" w:type="pct"/>
            <w:vAlign w:val="center"/>
          </w:tcPr>
          <w:p w14:paraId="7479FC2D"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Pompe d'aspersion</w:t>
            </w:r>
          </w:p>
        </w:tc>
        <w:tc>
          <w:tcPr>
            <w:tcW w:w="1919" w:type="pct"/>
          </w:tcPr>
          <w:p w14:paraId="06CC4D67" w14:textId="77777777" w:rsidR="00D0008E" w:rsidRPr="006C1F9F" w:rsidRDefault="00D0008E" w:rsidP="00D0008E">
            <w:pPr>
              <w:pStyle w:val="ListParagraph"/>
              <w:numPr>
                <w:ilvl w:val="0"/>
                <w:numId w:val="6"/>
              </w:numPr>
              <w:spacing w:after="200" w:line="256" w:lineRule="auto"/>
              <w:ind w:left="0"/>
              <w:jc w:val="both"/>
              <w:rPr>
                <w:rFonts w:ascii="Rockwell" w:hAnsi="Rockwell"/>
                <w:color w:val="000000"/>
                <w:sz w:val="22"/>
                <w:szCs w:val="22"/>
                <w:lang w:val="x-none" w:eastAsia="fr-FR"/>
              </w:rPr>
            </w:pPr>
            <w:r w:rsidRPr="006C1F9F">
              <w:rPr>
                <w:rFonts w:ascii="Rockwell" w:hAnsi="Rockwell"/>
                <w:color w:val="000000"/>
                <w:sz w:val="22"/>
                <w:szCs w:val="22"/>
                <w:lang w:eastAsia="fr-BE"/>
              </w:rPr>
              <w:t>Marque robuste avec disponibilité de pièces de rechange au niveau local,</w:t>
            </w:r>
          </w:p>
          <w:p w14:paraId="66C2100E" w14:textId="77777777" w:rsidR="00D0008E" w:rsidRPr="006C1F9F" w:rsidRDefault="00D0008E" w:rsidP="00D0008E">
            <w:pPr>
              <w:pStyle w:val="ListParagraph"/>
              <w:numPr>
                <w:ilvl w:val="0"/>
                <w:numId w:val="6"/>
              </w:numPr>
              <w:spacing w:line="256" w:lineRule="auto"/>
              <w:ind w:left="0"/>
              <w:jc w:val="both"/>
              <w:rPr>
                <w:rFonts w:ascii="Rockwell" w:hAnsi="Rockwell"/>
                <w:color w:val="000000"/>
                <w:sz w:val="22"/>
                <w:szCs w:val="22"/>
                <w:lang w:eastAsia="fr-FR"/>
              </w:rPr>
            </w:pPr>
            <w:r w:rsidRPr="006C1F9F">
              <w:rPr>
                <w:rFonts w:ascii="Rockwell" w:hAnsi="Rockwell"/>
                <w:color w:val="000000"/>
                <w:sz w:val="22"/>
                <w:szCs w:val="22"/>
                <w:lang w:eastAsia="fr-FR"/>
              </w:rPr>
              <w:t xml:space="preserve">Capacité utile: 16 Litres, </w:t>
            </w:r>
          </w:p>
          <w:p w14:paraId="3DEEC64C" w14:textId="77777777" w:rsidR="00D0008E" w:rsidRPr="006C1F9F" w:rsidRDefault="00D0008E" w:rsidP="00D0008E">
            <w:pPr>
              <w:pStyle w:val="ListParagraph"/>
              <w:numPr>
                <w:ilvl w:val="0"/>
                <w:numId w:val="6"/>
              </w:numPr>
              <w:spacing w:line="256" w:lineRule="auto"/>
              <w:ind w:left="0"/>
              <w:jc w:val="both"/>
              <w:rPr>
                <w:rFonts w:ascii="Rockwell" w:hAnsi="Rockwell"/>
                <w:color w:val="000000"/>
                <w:sz w:val="22"/>
                <w:szCs w:val="22"/>
                <w:lang w:eastAsia="fr-FR"/>
              </w:rPr>
            </w:pPr>
            <w:r w:rsidRPr="006C1F9F">
              <w:rPr>
                <w:rFonts w:ascii="Rockwell" w:hAnsi="Rockwell"/>
                <w:color w:val="000000"/>
                <w:sz w:val="22"/>
                <w:szCs w:val="22"/>
                <w:lang w:eastAsia="fr-FR"/>
              </w:rPr>
              <w:t>Capacité totale: 16 Litres,</w:t>
            </w:r>
          </w:p>
          <w:p w14:paraId="0C3A29F4" w14:textId="77777777" w:rsidR="00D0008E" w:rsidRPr="006C1F9F" w:rsidRDefault="00D0008E" w:rsidP="00D0008E">
            <w:pPr>
              <w:pStyle w:val="ListParagraph"/>
              <w:numPr>
                <w:ilvl w:val="0"/>
                <w:numId w:val="6"/>
              </w:numPr>
              <w:spacing w:line="256" w:lineRule="auto"/>
              <w:ind w:left="0"/>
              <w:jc w:val="both"/>
              <w:rPr>
                <w:rFonts w:ascii="Rockwell" w:hAnsi="Rockwell"/>
                <w:color w:val="000000"/>
                <w:sz w:val="22"/>
                <w:szCs w:val="22"/>
                <w:lang w:eastAsia="fr-FR"/>
              </w:rPr>
            </w:pPr>
            <w:r w:rsidRPr="006C1F9F">
              <w:rPr>
                <w:rFonts w:ascii="Rockwell" w:hAnsi="Rockwell"/>
                <w:color w:val="000000"/>
                <w:sz w:val="22"/>
                <w:szCs w:val="22"/>
                <w:lang w:eastAsia="fr-FR"/>
              </w:rPr>
              <w:t xml:space="preserve">Régulateur de pression en 3 positions </w:t>
            </w:r>
            <w:r w:rsidRPr="006C1F9F">
              <w:rPr>
                <w:rFonts w:ascii="Rockwell" w:hAnsi="Rockwell"/>
                <w:color w:val="333333"/>
                <w:sz w:val="22"/>
                <w:szCs w:val="22"/>
                <w:shd w:val="clear" w:color="auto" w:fill="FFFFFF"/>
              </w:rPr>
              <w:t>pour réduire la consommation de produit et d'eau.</w:t>
            </w:r>
            <w:r w:rsidRPr="006C1F9F">
              <w:rPr>
                <w:rFonts w:ascii="Rockwell" w:hAnsi="Rockwell"/>
                <w:color w:val="000000"/>
                <w:sz w:val="22"/>
                <w:szCs w:val="22"/>
                <w:lang w:eastAsia="fr-FR"/>
              </w:rPr>
              <w:t> ;</w:t>
            </w:r>
          </w:p>
          <w:p w14:paraId="2E682F09" w14:textId="77777777" w:rsidR="00D0008E" w:rsidRPr="006C1F9F" w:rsidRDefault="00D0008E" w:rsidP="00D0008E">
            <w:pPr>
              <w:pStyle w:val="ListParagraph"/>
              <w:numPr>
                <w:ilvl w:val="0"/>
                <w:numId w:val="6"/>
              </w:numPr>
              <w:spacing w:line="256" w:lineRule="auto"/>
              <w:ind w:left="0"/>
              <w:jc w:val="both"/>
              <w:rPr>
                <w:rFonts w:ascii="Rockwell" w:hAnsi="Rockwell"/>
                <w:sz w:val="22"/>
                <w:szCs w:val="22"/>
                <w:lang w:eastAsia="fr-FR"/>
              </w:rPr>
            </w:pPr>
            <w:r w:rsidRPr="006C1F9F">
              <w:rPr>
                <w:rFonts w:ascii="Rockwell" w:hAnsi="Rockwell"/>
                <w:sz w:val="22"/>
                <w:szCs w:val="22"/>
                <w:lang w:eastAsia="fr-FR"/>
              </w:rPr>
              <w:t>Poids net : au moins 3,25 Kg,</w:t>
            </w:r>
          </w:p>
          <w:p w14:paraId="6DE14B5A" w14:textId="77777777" w:rsidR="00D0008E" w:rsidRPr="006C1F9F" w:rsidRDefault="00D0008E" w:rsidP="00D0008E">
            <w:pPr>
              <w:pStyle w:val="ListParagraph"/>
              <w:numPr>
                <w:ilvl w:val="0"/>
                <w:numId w:val="6"/>
              </w:numPr>
              <w:spacing w:line="256" w:lineRule="auto"/>
              <w:ind w:left="0"/>
              <w:jc w:val="both"/>
              <w:rPr>
                <w:rFonts w:ascii="Rockwell" w:hAnsi="Rockwell"/>
                <w:sz w:val="22"/>
                <w:szCs w:val="22"/>
                <w:lang w:eastAsia="fr-FR"/>
              </w:rPr>
            </w:pPr>
            <w:r w:rsidRPr="006C1F9F">
              <w:rPr>
                <w:rFonts w:ascii="Rockwell" w:hAnsi="Rockwell"/>
                <w:sz w:val="22"/>
                <w:szCs w:val="22"/>
                <w:lang w:eastAsia="fr-FR"/>
              </w:rPr>
              <w:t>Poids brut : au moins 3,8 Kg</w:t>
            </w:r>
          </w:p>
          <w:p w14:paraId="7714A8CA" w14:textId="77777777" w:rsidR="00D0008E" w:rsidRPr="006C1F9F" w:rsidRDefault="00D0008E" w:rsidP="00D0008E">
            <w:pPr>
              <w:pStyle w:val="ListParagraph"/>
              <w:numPr>
                <w:ilvl w:val="0"/>
                <w:numId w:val="6"/>
              </w:numPr>
              <w:spacing w:line="256" w:lineRule="auto"/>
              <w:ind w:left="0"/>
              <w:jc w:val="both"/>
              <w:rPr>
                <w:rFonts w:ascii="Rockwell" w:hAnsi="Rockwell"/>
                <w:color w:val="000000"/>
                <w:sz w:val="22"/>
                <w:szCs w:val="22"/>
                <w:lang w:eastAsia="fr-FR"/>
              </w:rPr>
            </w:pPr>
            <w:r w:rsidRPr="006C1F9F">
              <w:rPr>
                <w:rFonts w:ascii="Rockwell" w:hAnsi="Rockwell"/>
                <w:color w:val="000000"/>
                <w:sz w:val="22"/>
                <w:szCs w:val="22"/>
                <w:lang w:eastAsia="fr-FR"/>
              </w:rPr>
              <w:t>Finition du matériau : Polypropylène,</w:t>
            </w:r>
          </w:p>
          <w:p w14:paraId="6E9C3934" w14:textId="77777777" w:rsidR="00D0008E" w:rsidRPr="006C1F9F" w:rsidRDefault="00D0008E" w:rsidP="00D0008E">
            <w:pPr>
              <w:pStyle w:val="ListParagraph"/>
              <w:numPr>
                <w:ilvl w:val="0"/>
                <w:numId w:val="6"/>
              </w:numPr>
              <w:spacing w:line="256" w:lineRule="auto"/>
              <w:ind w:left="0"/>
              <w:jc w:val="both"/>
              <w:rPr>
                <w:rFonts w:ascii="Rockwell" w:hAnsi="Rockwell"/>
                <w:color w:val="000000"/>
                <w:sz w:val="22"/>
                <w:szCs w:val="22"/>
                <w:lang w:eastAsia="fr-FR"/>
              </w:rPr>
            </w:pPr>
            <w:r w:rsidRPr="006C1F9F">
              <w:rPr>
                <w:rFonts w:ascii="Rockwell" w:hAnsi="Rockwell"/>
                <w:color w:val="000000"/>
                <w:sz w:val="22"/>
                <w:szCs w:val="22"/>
                <w:lang w:eastAsia="fr-FR"/>
              </w:rPr>
              <w:t>Pulvérisateur à pression entretenue et complet,</w:t>
            </w:r>
          </w:p>
          <w:p w14:paraId="7A4B686A" w14:textId="77777777" w:rsidR="00D0008E" w:rsidRPr="006C1F9F" w:rsidRDefault="00D0008E" w:rsidP="00D0008E">
            <w:pPr>
              <w:numPr>
                <w:ilvl w:val="0"/>
                <w:numId w:val="6"/>
              </w:numPr>
              <w:spacing w:after="100" w:afterAutospacing="1"/>
              <w:ind w:left="0"/>
              <w:jc w:val="both"/>
              <w:rPr>
                <w:rFonts w:ascii="Rockwell" w:hAnsi="Rockwell"/>
                <w:color w:val="212529"/>
                <w:sz w:val="22"/>
                <w:szCs w:val="22"/>
              </w:rPr>
            </w:pPr>
            <w:r w:rsidRPr="006C1F9F">
              <w:rPr>
                <w:rFonts w:ascii="Rockwell" w:hAnsi="Rockwell"/>
                <w:color w:val="212529"/>
                <w:sz w:val="22"/>
                <w:szCs w:val="22"/>
              </w:rPr>
              <w:t>Lance et rallonge : lance/levier,</w:t>
            </w:r>
          </w:p>
          <w:p w14:paraId="39F19355" w14:textId="77777777" w:rsidR="00D0008E" w:rsidRPr="006C1F9F" w:rsidRDefault="00D0008E" w:rsidP="00D0008E">
            <w:pPr>
              <w:numPr>
                <w:ilvl w:val="0"/>
                <w:numId w:val="6"/>
              </w:numPr>
              <w:shd w:val="clear" w:color="auto" w:fill="FFFFFF"/>
              <w:spacing w:after="100" w:afterAutospacing="1"/>
              <w:ind w:left="0"/>
              <w:jc w:val="both"/>
              <w:rPr>
                <w:rFonts w:ascii="Rockwell" w:hAnsi="Rockwell"/>
                <w:color w:val="212529"/>
                <w:sz w:val="22"/>
                <w:szCs w:val="22"/>
              </w:rPr>
            </w:pPr>
            <w:r w:rsidRPr="006C1F9F">
              <w:rPr>
                <w:rFonts w:ascii="Rockwell" w:hAnsi="Rockwell"/>
                <w:color w:val="212529"/>
                <w:sz w:val="22"/>
                <w:szCs w:val="22"/>
              </w:rPr>
              <w:t>Vaste ouverture de remplissage,</w:t>
            </w:r>
          </w:p>
          <w:p w14:paraId="03AE0238" w14:textId="77777777" w:rsidR="00D0008E" w:rsidRPr="006C1F9F" w:rsidRDefault="00D0008E" w:rsidP="00D0008E">
            <w:pPr>
              <w:pStyle w:val="ListParagraph"/>
              <w:numPr>
                <w:ilvl w:val="0"/>
                <w:numId w:val="6"/>
              </w:numPr>
              <w:spacing w:after="200" w:line="256" w:lineRule="auto"/>
              <w:ind w:left="0"/>
              <w:jc w:val="both"/>
              <w:rPr>
                <w:rFonts w:ascii="Rockwell" w:hAnsi="Rockwell"/>
                <w:color w:val="000000"/>
                <w:sz w:val="22"/>
                <w:szCs w:val="22"/>
                <w:lang w:eastAsia="fr-BE"/>
              </w:rPr>
            </w:pPr>
            <w:r w:rsidRPr="006C1F9F">
              <w:rPr>
                <w:rFonts w:ascii="Rockwell" w:hAnsi="Rockwell"/>
                <w:color w:val="000000"/>
                <w:sz w:val="22"/>
                <w:szCs w:val="22"/>
                <w:lang w:eastAsia="fr-BE"/>
              </w:rPr>
              <w:t>Filtre pour la sécurité des opérations de remplissage,</w:t>
            </w:r>
          </w:p>
          <w:p w14:paraId="4597C5C2" w14:textId="77777777" w:rsidR="00D0008E" w:rsidRPr="006C1F9F" w:rsidRDefault="00D0008E" w:rsidP="00D0008E">
            <w:pPr>
              <w:pStyle w:val="ListParagraph"/>
              <w:numPr>
                <w:ilvl w:val="0"/>
                <w:numId w:val="6"/>
              </w:numPr>
              <w:spacing w:line="256" w:lineRule="auto"/>
              <w:ind w:left="0"/>
              <w:jc w:val="both"/>
              <w:rPr>
                <w:rFonts w:ascii="Rockwell" w:hAnsi="Rockwell"/>
                <w:color w:val="000000"/>
                <w:sz w:val="22"/>
                <w:szCs w:val="22"/>
                <w:lang w:eastAsia="fr-BE"/>
              </w:rPr>
            </w:pPr>
            <w:r w:rsidRPr="006C1F9F">
              <w:rPr>
                <w:rFonts w:ascii="Rockwell" w:hAnsi="Rockwell"/>
                <w:color w:val="000000"/>
                <w:sz w:val="22"/>
                <w:szCs w:val="22"/>
                <w:lang w:eastAsia="fr-BE"/>
              </w:rPr>
              <w:t>Pompe avec piston interne,</w:t>
            </w:r>
          </w:p>
          <w:p w14:paraId="6A8A6BC8" w14:textId="77777777" w:rsidR="00D0008E" w:rsidRPr="006C1F9F" w:rsidRDefault="00D0008E" w:rsidP="00D0008E">
            <w:pPr>
              <w:pStyle w:val="ListParagraph"/>
              <w:numPr>
                <w:ilvl w:val="0"/>
                <w:numId w:val="6"/>
              </w:numPr>
              <w:spacing w:line="256" w:lineRule="auto"/>
              <w:ind w:left="0"/>
              <w:jc w:val="both"/>
              <w:rPr>
                <w:rFonts w:ascii="Rockwell" w:hAnsi="Rockwell"/>
                <w:color w:val="000000"/>
                <w:sz w:val="22"/>
                <w:szCs w:val="22"/>
                <w:lang w:eastAsia="fr-BE"/>
              </w:rPr>
            </w:pPr>
            <w:r w:rsidRPr="006C1F9F">
              <w:rPr>
                <w:rFonts w:ascii="Rockwell" w:hAnsi="Rockwell"/>
                <w:color w:val="000000"/>
                <w:sz w:val="22"/>
                <w:szCs w:val="22"/>
                <w:lang w:eastAsia="fr-BE"/>
              </w:rPr>
              <w:t>Tuyau à parois épaisse,</w:t>
            </w:r>
          </w:p>
          <w:p w14:paraId="5B55BC5C" w14:textId="77777777" w:rsidR="00D0008E" w:rsidRPr="006C1F9F" w:rsidRDefault="00D0008E" w:rsidP="00D0008E">
            <w:pPr>
              <w:pStyle w:val="ListParagraph"/>
              <w:numPr>
                <w:ilvl w:val="0"/>
                <w:numId w:val="6"/>
              </w:numPr>
              <w:spacing w:line="256" w:lineRule="auto"/>
              <w:ind w:left="0"/>
              <w:jc w:val="both"/>
              <w:rPr>
                <w:rFonts w:ascii="Rockwell" w:hAnsi="Rockwell"/>
                <w:color w:val="000000"/>
                <w:sz w:val="22"/>
                <w:szCs w:val="22"/>
                <w:lang w:eastAsia="fr-BE"/>
              </w:rPr>
            </w:pPr>
            <w:r w:rsidRPr="006C1F9F">
              <w:rPr>
                <w:rFonts w:ascii="Rockwell" w:hAnsi="Rockwell"/>
                <w:color w:val="000000"/>
                <w:sz w:val="22"/>
                <w:szCs w:val="22"/>
                <w:lang w:eastAsia="fr-BE"/>
              </w:rPr>
              <w:t>Accessoires optimaux : buses supplémentaires, valve, cache de pulvérisation,</w:t>
            </w:r>
          </w:p>
          <w:p w14:paraId="0327F40F" w14:textId="77777777" w:rsidR="00D0008E" w:rsidRPr="006C1F9F" w:rsidRDefault="00D0008E" w:rsidP="00D0008E">
            <w:pPr>
              <w:numPr>
                <w:ilvl w:val="0"/>
                <w:numId w:val="6"/>
              </w:numPr>
              <w:shd w:val="clear" w:color="auto" w:fill="FFFFFF"/>
              <w:spacing w:after="240"/>
              <w:ind w:left="0"/>
              <w:jc w:val="both"/>
              <w:rPr>
                <w:rFonts w:ascii="Rockwell" w:hAnsi="Rockwell"/>
                <w:sz w:val="22"/>
                <w:szCs w:val="22"/>
                <w:lang w:bidi="en-US"/>
              </w:rPr>
            </w:pPr>
            <w:r w:rsidRPr="006C1F9F">
              <w:rPr>
                <w:rFonts w:ascii="Rockwell" w:hAnsi="Rockwell"/>
                <w:color w:val="333333"/>
                <w:sz w:val="22"/>
                <w:szCs w:val="22"/>
              </w:rPr>
              <w:t>Indicateur transparent de niveau de liquide sur le côté.</w:t>
            </w:r>
          </w:p>
          <w:p w14:paraId="2ECAA6BC"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color w:val="000000"/>
                <w:sz w:val="22"/>
                <w:szCs w:val="22"/>
                <w:lang w:eastAsia="fr-BE"/>
              </w:rPr>
              <w:t>Avec graduation et avec bretelles</w:t>
            </w:r>
          </w:p>
        </w:tc>
        <w:tc>
          <w:tcPr>
            <w:tcW w:w="719" w:type="pct"/>
          </w:tcPr>
          <w:p w14:paraId="2F6B587C"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t>Pièce</w:t>
            </w:r>
          </w:p>
        </w:tc>
        <w:tc>
          <w:tcPr>
            <w:tcW w:w="1008" w:type="pct"/>
          </w:tcPr>
          <w:p w14:paraId="442E63E4" w14:textId="77777777" w:rsidR="00D0008E" w:rsidRPr="006C1F9F" w:rsidRDefault="00D0008E" w:rsidP="007967CE">
            <w:pPr>
              <w:pStyle w:val="BodyText"/>
              <w:jc w:val="both"/>
              <w:rPr>
                <w:rFonts w:ascii="Rockwell" w:hAnsi="Rockwell"/>
                <w:sz w:val="22"/>
                <w:szCs w:val="22"/>
              </w:rPr>
            </w:pPr>
          </w:p>
        </w:tc>
        <w:tc>
          <w:tcPr>
            <w:tcW w:w="492" w:type="pct"/>
          </w:tcPr>
          <w:p w14:paraId="42BAE94F" w14:textId="77777777" w:rsidR="00D0008E" w:rsidRPr="006C1F9F" w:rsidRDefault="00D0008E" w:rsidP="007967CE">
            <w:pPr>
              <w:pStyle w:val="BodyText"/>
              <w:jc w:val="both"/>
              <w:rPr>
                <w:rFonts w:ascii="Rockwell" w:hAnsi="Rockwell"/>
                <w:sz w:val="22"/>
                <w:szCs w:val="22"/>
              </w:rPr>
            </w:pPr>
          </w:p>
        </w:tc>
      </w:tr>
      <w:tr w:rsidR="00D0008E" w:rsidRPr="006C1F9F" w14:paraId="2E872FB8" w14:textId="77777777" w:rsidTr="007967CE">
        <w:trPr>
          <w:trHeight w:val="20"/>
        </w:trPr>
        <w:tc>
          <w:tcPr>
            <w:tcW w:w="862" w:type="pct"/>
            <w:vAlign w:val="center"/>
          </w:tcPr>
          <w:p w14:paraId="58A30DEC"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lastRenderedPageBreak/>
              <w:t>Boucles d’oreilles</w:t>
            </w:r>
          </w:p>
        </w:tc>
        <w:tc>
          <w:tcPr>
            <w:tcW w:w="1919" w:type="pct"/>
          </w:tcPr>
          <w:p w14:paraId="0259FC44" w14:textId="77777777" w:rsidR="00D0008E" w:rsidRPr="006C1F9F" w:rsidRDefault="00D0008E" w:rsidP="007967CE">
            <w:pPr>
              <w:pStyle w:val="ListParagraph"/>
              <w:ind w:left="0"/>
              <w:jc w:val="both"/>
              <w:rPr>
                <w:rFonts w:ascii="Rockwell" w:hAnsi="Rockwell"/>
                <w:sz w:val="22"/>
                <w:szCs w:val="22"/>
              </w:rPr>
            </w:pPr>
            <w:r w:rsidRPr="006C1F9F">
              <w:rPr>
                <w:rFonts w:ascii="Rockwell" w:hAnsi="Rockwell"/>
                <w:sz w:val="22"/>
                <w:szCs w:val="22"/>
              </w:rPr>
              <w:t>1-Les étiquettes doivent être doubles (mâles et femelles), aplaties, de couleur jaune avec une impression laser noire.</w:t>
            </w:r>
          </w:p>
          <w:p w14:paraId="512F74E6" w14:textId="77777777" w:rsidR="00D0008E" w:rsidRPr="006C1F9F" w:rsidRDefault="00D0008E" w:rsidP="007967CE">
            <w:pPr>
              <w:pStyle w:val="aaaarapportsemnormal"/>
              <w:rPr>
                <w:rFonts w:ascii="Rockwell" w:hAnsi="Rockwell"/>
                <w:bCs w:val="0"/>
              </w:rPr>
            </w:pPr>
            <w:r w:rsidRPr="006C1F9F">
              <w:rPr>
                <w:rFonts w:ascii="Rockwell" w:hAnsi="Rockwell"/>
                <w:bCs w:val="0"/>
              </w:rPr>
              <w:t>2-La partie mâle est de taille plus petite :</w:t>
            </w:r>
          </w:p>
          <w:p w14:paraId="24A47E3D" w14:textId="77777777" w:rsidR="00D0008E" w:rsidRPr="006C1F9F" w:rsidRDefault="00D0008E" w:rsidP="00D0008E">
            <w:pPr>
              <w:pStyle w:val="aaaarapportsemnormal"/>
              <w:numPr>
                <w:ilvl w:val="0"/>
                <w:numId w:val="7"/>
              </w:numPr>
              <w:rPr>
                <w:rFonts w:ascii="Rockwell" w:hAnsi="Rockwell"/>
                <w:bCs w:val="0"/>
              </w:rPr>
            </w:pPr>
            <w:r w:rsidRPr="006C1F9F">
              <w:rPr>
                <w:rFonts w:ascii="Rockwell" w:hAnsi="Rockwell"/>
                <w:bCs w:val="0"/>
              </w:rPr>
              <w:t>largeur de 60 mm et hauteur de 60 mm;</w:t>
            </w:r>
          </w:p>
          <w:p w14:paraId="558BBD1B" w14:textId="77777777" w:rsidR="00D0008E" w:rsidRPr="006C1F9F" w:rsidRDefault="00D0008E" w:rsidP="00D0008E">
            <w:pPr>
              <w:pStyle w:val="aaaarapportsemnormal"/>
              <w:numPr>
                <w:ilvl w:val="0"/>
                <w:numId w:val="7"/>
              </w:numPr>
              <w:rPr>
                <w:rFonts w:ascii="Rockwell" w:hAnsi="Rockwell"/>
                <w:bCs w:val="0"/>
              </w:rPr>
            </w:pPr>
            <w:r w:rsidRPr="006C1F9F">
              <w:rPr>
                <w:rFonts w:ascii="Rockwell" w:hAnsi="Rockwell"/>
                <w:bCs w:val="0"/>
              </w:rPr>
              <w:t>doit comporter à son extrémité une pointe fine en métal inoxydable qui doit permettre une perforation nette et rapide de l’oreille lors de la pose des boucles sans dommages pour l’animal.</w:t>
            </w:r>
          </w:p>
          <w:p w14:paraId="6CE29191" w14:textId="77777777" w:rsidR="00D0008E" w:rsidRPr="006C1F9F" w:rsidRDefault="00D0008E" w:rsidP="007967CE">
            <w:pPr>
              <w:pStyle w:val="BodyText"/>
              <w:suppressAutoHyphens/>
              <w:jc w:val="both"/>
              <w:rPr>
                <w:rFonts w:ascii="Rockwell" w:hAnsi="Rockwell"/>
                <w:b/>
                <w:bCs/>
                <w:sz w:val="22"/>
                <w:szCs w:val="22"/>
              </w:rPr>
            </w:pPr>
          </w:p>
          <w:p w14:paraId="4AF762EF" w14:textId="77777777" w:rsidR="00D0008E" w:rsidRPr="006C1F9F" w:rsidRDefault="00D0008E" w:rsidP="007967CE">
            <w:pPr>
              <w:pStyle w:val="aaaarapportsemnormal"/>
              <w:rPr>
                <w:rFonts w:ascii="Rockwell" w:hAnsi="Rockwell"/>
                <w:bCs w:val="0"/>
              </w:rPr>
            </w:pPr>
            <w:r w:rsidRPr="006C1F9F">
              <w:rPr>
                <w:rFonts w:ascii="Rockwell" w:hAnsi="Rockwell"/>
                <w:bCs w:val="0"/>
                <w:lang w:val="fr-FR"/>
              </w:rPr>
              <w:t>3-</w:t>
            </w:r>
            <w:r w:rsidRPr="006C1F9F">
              <w:rPr>
                <w:rFonts w:ascii="Rockwell" w:hAnsi="Rockwell"/>
                <w:bCs w:val="0"/>
              </w:rPr>
              <w:t>La partie femelle est de taille plus grande :</w:t>
            </w:r>
          </w:p>
          <w:p w14:paraId="0F9B3D06" w14:textId="77777777" w:rsidR="00D0008E" w:rsidRPr="006C1F9F" w:rsidRDefault="00D0008E" w:rsidP="00D0008E">
            <w:pPr>
              <w:pStyle w:val="aaaarapportsemnormal"/>
              <w:numPr>
                <w:ilvl w:val="0"/>
                <w:numId w:val="7"/>
              </w:numPr>
              <w:rPr>
                <w:rFonts w:ascii="Rockwell" w:hAnsi="Rockwell"/>
                <w:bCs w:val="0"/>
              </w:rPr>
            </w:pPr>
            <w:r w:rsidRPr="006C1F9F">
              <w:rPr>
                <w:rFonts w:ascii="Rockwell" w:hAnsi="Rockwell"/>
                <w:bCs w:val="0"/>
              </w:rPr>
              <w:t>largeur de 60 mm et hauteur de 75 mm;</w:t>
            </w:r>
          </w:p>
          <w:p w14:paraId="5180CC9F" w14:textId="77777777" w:rsidR="00D0008E" w:rsidRPr="006C1F9F" w:rsidRDefault="00D0008E" w:rsidP="00D0008E">
            <w:pPr>
              <w:pStyle w:val="aaaarapportsemnormal"/>
              <w:numPr>
                <w:ilvl w:val="0"/>
                <w:numId w:val="7"/>
              </w:numPr>
              <w:rPr>
                <w:rFonts w:ascii="Rockwell" w:hAnsi="Rockwell"/>
                <w:bCs w:val="0"/>
              </w:rPr>
            </w:pPr>
            <w:r w:rsidRPr="006C1F9F">
              <w:rPr>
                <w:rFonts w:ascii="Rockwell" w:hAnsi="Rockwell"/>
                <w:bCs w:val="0"/>
              </w:rPr>
              <w:t>non réutilisable en cas de tentative de réapposition;</w:t>
            </w:r>
          </w:p>
          <w:p w14:paraId="5536C780" w14:textId="77777777" w:rsidR="00D0008E" w:rsidRPr="006C1F9F" w:rsidRDefault="00D0008E" w:rsidP="00D0008E">
            <w:pPr>
              <w:pStyle w:val="aaaarapportsemnormal"/>
              <w:numPr>
                <w:ilvl w:val="0"/>
                <w:numId w:val="7"/>
              </w:numPr>
              <w:rPr>
                <w:rFonts w:ascii="Rockwell" w:hAnsi="Rockwell"/>
                <w:bCs w:val="0"/>
              </w:rPr>
            </w:pPr>
            <w:r w:rsidRPr="006C1F9F">
              <w:rPr>
                <w:rFonts w:ascii="Rockwell" w:hAnsi="Rockwell"/>
                <w:bCs w:val="0"/>
              </w:rPr>
              <w:t>avoir des ouvertures pour que l’air puisse circuler et ainsi diminuer le risque d’infection et faciliter une cicatrisation rapide après la pose des boucles;</w:t>
            </w:r>
          </w:p>
          <w:p w14:paraId="31906E3D" w14:textId="77777777" w:rsidR="00D0008E" w:rsidRPr="006C1F9F" w:rsidRDefault="00D0008E" w:rsidP="007967CE">
            <w:pPr>
              <w:pStyle w:val="aaaarapportsemnormal"/>
              <w:rPr>
                <w:rFonts w:ascii="Rockwell" w:hAnsi="Rockwell"/>
                <w:bCs w:val="0"/>
              </w:rPr>
            </w:pPr>
            <w:r w:rsidRPr="006C1F9F">
              <w:rPr>
                <w:rFonts w:ascii="Rockwell" w:hAnsi="Rockwell"/>
                <w:bCs w:val="0"/>
              </w:rPr>
              <w:t>4-Les deux parties mâles et femelles des boucles doivent tourner librement afin de permettre la libération de la boucle en cas d’accrochage et d’éviter ainsi le déchirement de l’oreille.</w:t>
            </w:r>
          </w:p>
          <w:p w14:paraId="0CE1F3DA" w14:textId="77777777" w:rsidR="00D0008E" w:rsidRPr="006C1F9F" w:rsidRDefault="00D0008E" w:rsidP="007967CE">
            <w:pPr>
              <w:pStyle w:val="BodyText"/>
              <w:jc w:val="both"/>
              <w:rPr>
                <w:rFonts w:ascii="Rockwell" w:hAnsi="Rockwell"/>
                <w:b/>
                <w:bCs/>
                <w:sz w:val="22"/>
                <w:szCs w:val="22"/>
              </w:rPr>
            </w:pPr>
            <w:r w:rsidRPr="006C1F9F">
              <w:rPr>
                <w:rFonts w:ascii="Rockwell" w:hAnsi="Rockwell"/>
                <w:sz w:val="22"/>
                <w:szCs w:val="22"/>
              </w:rPr>
              <w:t>5-Le marquage doit comprendre un code DATAMATRIX entièrement réalisé au moyen d’un laser pour assurer une lisibilité correcte à distance du marquage sur l’oreille de l’animal pendant toute sa vie.</w:t>
            </w:r>
          </w:p>
          <w:p w14:paraId="5354B5EE" w14:textId="77777777" w:rsidR="00D0008E" w:rsidRPr="006C1F9F" w:rsidRDefault="00D0008E" w:rsidP="007967CE">
            <w:pPr>
              <w:pStyle w:val="BodyText"/>
              <w:jc w:val="both"/>
              <w:rPr>
                <w:rFonts w:ascii="Rockwell" w:hAnsi="Rockwell"/>
                <w:b/>
                <w:bCs/>
                <w:sz w:val="22"/>
                <w:szCs w:val="22"/>
                <w:u w:val="single"/>
              </w:rPr>
            </w:pPr>
            <w:r w:rsidRPr="006C1F9F">
              <w:rPr>
                <w:rFonts w:ascii="Rockwell" w:hAnsi="Rockwell"/>
                <w:sz w:val="22"/>
                <w:szCs w:val="22"/>
              </w:rPr>
              <w:lastRenderedPageBreak/>
              <w:t xml:space="preserve">6-Chaque boucle d’oreille doit porter un identifiant numérique propre précédé du code : </w:t>
            </w:r>
            <w:r w:rsidRPr="006C1F9F">
              <w:rPr>
                <w:rFonts w:ascii="Rockwell" w:hAnsi="Rockwell"/>
                <w:sz w:val="22"/>
                <w:szCs w:val="22"/>
                <w:u w:val="single"/>
              </w:rPr>
              <w:t>BDI plus 8 chiffres (Exemple : BDI 00000001).</w:t>
            </w:r>
          </w:p>
          <w:p w14:paraId="73D44D17"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sz w:val="22"/>
                <w:szCs w:val="22"/>
                <w:u w:val="single"/>
              </w:rPr>
              <w:t>Le soumissionnaire devra livrer quatre (4) boucles supplémentaires pour le test de leur pose lors de la réception.</w:t>
            </w:r>
          </w:p>
        </w:tc>
        <w:tc>
          <w:tcPr>
            <w:tcW w:w="719" w:type="pct"/>
          </w:tcPr>
          <w:p w14:paraId="329E5F32" w14:textId="77777777" w:rsidR="00D0008E" w:rsidRPr="006C1F9F" w:rsidRDefault="00D0008E" w:rsidP="007967CE">
            <w:pPr>
              <w:pStyle w:val="BodyText"/>
              <w:jc w:val="both"/>
              <w:rPr>
                <w:rFonts w:ascii="Rockwell" w:hAnsi="Rockwell"/>
                <w:sz w:val="22"/>
                <w:szCs w:val="22"/>
                <w:lang w:eastAsia="fr-FR"/>
              </w:rPr>
            </w:pPr>
            <w:r w:rsidRPr="006C1F9F">
              <w:rPr>
                <w:rFonts w:ascii="Rockwell" w:hAnsi="Rockwell"/>
                <w:color w:val="000000"/>
                <w:sz w:val="22"/>
                <w:szCs w:val="22"/>
                <w:lang w:eastAsia="fr-FR"/>
              </w:rPr>
              <w:lastRenderedPageBreak/>
              <w:t xml:space="preserve">Paire de boucles </w:t>
            </w:r>
          </w:p>
        </w:tc>
        <w:tc>
          <w:tcPr>
            <w:tcW w:w="1008" w:type="pct"/>
          </w:tcPr>
          <w:p w14:paraId="00B6D41D" w14:textId="77777777" w:rsidR="00D0008E" w:rsidRPr="006C1F9F" w:rsidRDefault="00D0008E" w:rsidP="007967CE">
            <w:pPr>
              <w:pStyle w:val="BodyText"/>
              <w:jc w:val="both"/>
              <w:rPr>
                <w:rFonts w:ascii="Rockwell" w:hAnsi="Rockwell"/>
                <w:sz w:val="22"/>
                <w:szCs w:val="22"/>
              </w:rPr>
            </w:pPr>
          </w:p>
        </w:tc>
        <w:tc>
          <w:tcPr>
            <w:tcW w:w="492" w:type="pct"/>
          </w:tcPr>
          <w:p w14:paraId="00F412F0" w14:textId="77777777" w:rsidR="00D0008E" w:rsidRPr="006C1F9F" w:rsidRDefault="00D0008E" w:rsidP="007967CE">
            <w:pPr>
              <w:pStyle w:val="BodyText"/>
              <w:jc w:val="both"/>
              <w:rPr>
                <w:rFonts w:ascii="Rockwell" w:hAnsi="Rockwell"/>
                <w:sz w:val="22"/>
                <w:szCs w:val="22"/>
              </w:rPr>
            </w:pPr>
          </w:p>
        </w:tc>
      </w:tr>
      <w:tr w:rsidR="00D0008E" w:rsidRPr="006C1F9F" w14:paraId="585BE675" w14:textId="77777777" w:rsidTr="007967CE">
        <w:trPr>
          <w:trHeight w:val="20"/>
        </w:trPr>
        <w:tc>
          <w:tcPr>
            <w:tcW w:w="862" w:type="pct"/>
            <w:vAlign w:val="center"/>
          </w:tcPr>
          <w:p w14:paraId="133E8378" w14:textId="77777777" w:rsidR="00D0008E" w:rsidRPr="006C1F9F"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Pinces de pose de boucles d’oreilles</w:t>
            </w:r>
          </w:p>
        </w:tc>
        <w:tc>
          <w:tcPr>
            <w:tcW w:w="1919" w:type="pct"/>
          </w:tcPr>
          <w:p w14:paraId="604640B6" w14:textId="77777777" w:rsidR="00D0008E" w:rsidRPr="006C1F9F" w:rsidRDefault="00D0008E" w:rsidP="007967CE">
            <w:pPr>
              <w:jc w:val="both"/>
              <w:rPr>
                <w:rFonts w:ascii="Rockwell" w:hAnsi="Rockwell"/>
                <w:color w:val="000000"/>
                <w:sz w:val="22"/>
                <w:szCs w:val="22"/>
                <w:lang w:eastAsia="fr-FR"/>
              </w:rPr>
            </w:pPr>
            <w:r w:rsidRPr="006C1F9F">
              <w:rPr>
                <w:rFonts w:ascii="Rockwell" w:hAnsi="Rockwell"/>
                <w:sz w:val="22"/>
                <w:szCs w:val="22"/>
              </w:rPr>
              <w:t>Les pinces de pose doivent être robuste et en métal inoxydable avec des manches et une prise en main facile pour éviter le glissement de la pince dans la main, avoir un pointeau de remplacement ainsi que le conseil d’application. Être compatibles avec les boucles à livrer</w:t>
            </w:r>
          </w:p>
        </w:tc>
        <w:tc>
          <w:tcPr>
            <w:tcW w:w="719" w:type="pct"/>
          </w:tcPr>
          <w:p w14:paraId="23C28162" w14:textId="77777777" w:rsidR="00D0008E" w:rsidRDefault="00D0008E" w:rsidP="007967CE">
            <w:pPr>
              <w:pStyle w:val="BodyText"/>
              <w:jc w:val="both"/>
              <w:rPr>
                <w:rFonts w:ascii="Rockwell" w:hAnsi="Rockwell"/>
                <w:color w:val="000000"/>
                <w:sz w:val="22"/>
                <w:szCs w:val="22"/>
                <w:lang w:eastAsia="fr-FR"/>
              </w:rPr>
            </w:pPr>
            <w:r w:rsidRPr="006C1F9F">
              <w:rPr>
                <w:rFonts w:ascii="Rockwell" w:hAnsi="Rockwell"/>
                <w:color w:val="000000"/>
                <w:sz w:val="22"/>
                <w:szCs w:val="22"/>
                <w:lang w:eastAsia="fr-FR"/>
              </w:rPr>
              <w:t xml:space="preserve">Pièce </w:t>
            </w:r>
          </w:p>
          <w:p w14:paraId="727DB2DC" w14:textId="77777777" w:rsidR="006C1F9F" w:rsidRDefault="006C1F9F" w:rsidP="006C1F9F">
            <w:pPr>
              <w:rPr>
                <w:rFonts w:ascii="Rockwell" w:hAnsi="Rockwell"/>
                <w:color w:val="000000"/>
                <w:sz w:val="22"/>
                <w:szCs w:val="22"/>
                <w:lang w:eastAsia="fr-FR"/>
              </w:rPr>
            </w:pPr>
          </w:p>
          <w:p w14:paraId="022D6B76" w14:textId="77777777" w:rsidR="006C1F9F" w:rsidRPr="006C1F9F" w:rsidRDefault="006C1F9F" w:rsidP="006C1F9F">
            <w:pPr>
              <w:jc w:val="center"/>
              <w:rPr>
                <w:lang w:eastAsia="fr-FR"/>
              </w:rPr>
            </w:pPr>
          </w:p>
        </w:tc>
        <w:tc>
          <w:tcPr>
            <w:tcW w:w="1008" w:type="pct"/>
          </w:tcPr>
          <w:p w14:paraId="238047DD" w14:textId="77777777" w:rsidR="00D0008E" w:rsidRPr="006C1F9F" w:rsidRDefault="00D0008E" w:rsidP="007967CE">
            <w:pPr>
              <w:pStyle w:val="BodyText"/>
              <w:jc w:val="both"/>
              <w:rPr>
                <w:rFonts w:ascii="Rockwell" w:hAnsi="Rockwell"/>
                <w:sz w:val="22"/>
                <w:szCs w:val="22"/>
              </w:rPr>
            </w:pPr>
          </w:p>
        </w:tc>
        <w:tc>
          <w:tcPr>
            <w:tcW w:w="492" w:type="pct"/>
          </w:tcPr>
          <w:p w14:paraId="0B51B365" w14:textId="77777777" w:rsidR="00D0008E" w:rsidRPr="006C1F9F" w:rsidRDefault="00D0008E" w:rsidP="007967CE">
            <w:pPr>
              <w:pStyle w:val="BodyText"/>
              <w:jc w:val="both"/>
              <w:rPr>
                <w:rFonts w:ascii="Rockwell" w:hAnsi="Rockwell"/>
                <w:sz w:val="22"/>
                <w:szCs w:val="22"/>
              </w:rPr>
            </w:pPr>
          </w:p>
        </w:tc>
      </w:tr>
    </w:tbl>
    <w:p w14:paraId="58A4FC41" w14:textId="77777777" w:rsidR="00D0008E" w:rsidRPr="006C1F9F" w:rsidRDefault="00D0008E" w:rsidP="00D0008E">
      <w:pPr>
        <w:spacing w:after="0"/>
        <w:rPr>
          <w:rFonts w:ascii="Rockwell" w:hAnsi="Rockwell"/>
          <w:b/>
          <w:bCs/>
        </w:rPr>
      </w:pPr>
      <w:r w:rsidRPr="006C1F9F">
        <w:rPr>
          <w:rFonts w:ascii="Rockwell" w:hAnsi="Rockwell"/>
          <w:b/>
          <w:bCs/>
        </w:rPr>
        <w:t xml:space="preserve">NB : </w:t>
      </w:r>
    </w:p>
    <w:p w14:paraId="209CABC5" w14:textId="77777777" w:rsidR="00D0008E" w:rsidRPr="006C1F9F" w:rsidRDefault="00D0008E" w:rsidP="00D0008E">
      <w:pPr>
        <w:pStyle w:val="ListParagraph"/>
        <w:widowControl w:val="0"/>
        <w:numPr>
          <w:ilvl w:val="0"/>
          <w:numId w:val="8"/>
        </w:numPr>
        <w:tabs>
          <w:tab w:val="left" w:pos="0"/>
        </w:tabs>
        <w:autoSpaceDE w:val="0"/>
        <w:autoSpaceDN w:val="0"/>
        <w:spacing w:after="0" w:line="240" w:lineRule="auto"/>
        <w:contextualSpacing w:val="0"/>
        <w:rPr>
          <w:rFonts w:ascii="Rockwell" w:hAnsi="Rockwell"/>
          <w:b/>
          <w:bCs/>
          <w:i/>
          <w:iCs/>
          <w:lang w:bidi="en-US"/>
        </w:rPr>
      </w:pPr>
      <w:r w:rsidRPr="006C1F9F">
        <w:rPr>
          <w:rFonts w:ascii="Rockwell" w:hAnsi="Rockwell"/>
          <w:b/>
          <w:bCs/>
          <w:i/>
          <w:iCs/>
          <w:lang w:bidi="en-US"/>
        </w:rPr>
        <w:t>Les produits à usage vétérinaire doivent avoir une durée de péremption supérieure à deux (2) ans au moment de la livraison.</w:t>
      </w:r>
    </w:p>
    <w:p w14:paraId="0D73BF2D" w14:textId="77777777" w:rsidR="00D0008E" w:rsidRPr="006C1F9F" w:rsidRDefault="00D0008E" w:rsidP="00D0008E">
      <w:pPr>
        <w:pStyle w:val="ListParagraph"/>
        <w:widowControl w:val="0"/>
        <w:tabs>
          <w:tab w:val="left" w:pos="0"/>
        </w:tabs>
        <w:autoSpaceDE w:val="0"/>
        <w:autoSpaceDN w:val="0"/>
        <w:spacing w:after="0" w:line="240" w:lineRule="auto"/>
        <w:contextualSpacing w:val="0"/>
        <w:rPr>
          <w:rFonts w:ascii="Rockwell" w:hAnsi="Rockwell"/>
          <w:b/>
          <w:bCs/>
          <w:i/>
          <w:iCs/>
          <w:lang w:bidi="en-US"/>
        </w:rPr>
      </w:pPr>
    </w:p>
    <w:p w14:paraId="61C11E5E" w14:textId="5A2034F6" w:rsidR="00D0008E" w:rsidRPr="006C1F9F" w:rsidRDefault="00D0008E" w:rsidP="00D0008E">
      <w:pPr>
        <w:widowControl w:val="0"/>
        <w:tabs>
          <w:tab w:val="left" w:pos="0"/>
        </w:tabs>
        <w:autoSpaceDE w:val="0"/>
        <w:autoSpaceDN w:val="0"/>
        <w:spacing w:after="0" w:line="240" w:lineRule="auto"/>
        <w:rPr>
          <w:rFonts w:ascii="Rockwell" w:hAnsi="Rockwell"/>
          <w:b/>
          <w:bCs/>
          <w:i/>
          <w:iCs/>
          <w:lang w:bidi="en-US"/>
        </w:rPr>
      </w:pPr>
      <w:r w:rsidRPr="006C1F9F">
        <w:rPr>
          <w:rFonts w:ascii="Rockwell" w:eastAsia="Times New Roman" w:hAnsi="Rockwell" w:cs="Arial"/>
          <w:b/>
          <w:bCs/>
          <w:i/>
          <w:iCs/>
          <w:kern w:val="0"/>
          <w14:ligatures w14:val="none"/>
        </w:rPr>
        <w:t>Lot 2 :   Aliments pour bétail</w:t>
      </w:r>
    </w:p>
    <w:p w14:paraId="48B6F59B" w14:textId="77777777" w:rsidR="00D0008E" w:rsidRPr="006C1F9F" w:rsidRDefault="00D0008E" w:rsidP="00D0008E">
      <w:pPr>
        <w:pStyle w:val="ListParagraph"/>
        <w:rPr>
          <w:rFonts w:ascii="Rockwell" w:hAnsi="Rockwell"/>
        </w:rPr>
      </w:pPr>
    </w:p>
    <w:p w14:paraId="2DF92602" w14:textId="77777777" w:rsidR="00D0008E" w:rsidRPr="006C1F9F" w:rsidRDefault="00D0008E" w:rsidP="00D0008E">
      <w:pPr>
        <w:rPr>
          <w:rFonts w:ascii="Rockwell" w:hAnsi="Rockwell"/>
        </w:rPr>
      </w:pPr>
      <w:r w:rsidRPr="006C1F9F">
        <w:rPr>
          <w:rFonts w:ascii="Rockwell" w:hAnsi="Rockwell"/>
        </w:rPr>
        <w:t>Les aliments concentrés pour bovins est un mélange d’ingrédients ayant la valeur nutritive repris dans le tableau qui suit :</w:t>
      </w:r>
    </w:p>
    <w:tbl>
      <w:tblPr>
        <w:tblStyle w:val="TableGrid"/>
        <w:tblW w:w="13472" w:type="dxa"/>
        <w:jc w:val="center"/>
        <w:tblLook w:val="04A0" w:firstRow="1" w:lastRow="0" w:firstColumn="1" w:lastColumn="0" w:noHBand="0" w:noVBand="1"/>
      </w:tblPr>
      <w:tblGrid>
        <w:gridCol w:w="1571"/>
        <w:gridCol w:w="3402"/>
        <w:gridCol w:w="5104"/>
        <w:gridCol w:w="3395"/>
      </w:tblGrid>
      <w:tr w:rsidR="00D0008E" w:rsidRPr="006C1F9F" w14:paraId="70F4D2F6" w14:textId="77777777" w:rsidTr="00D0008E">
        <w:trPr>
          <w:trHeight w:val="20"/>
          <w:jc w:val="center"/>
        </w:trPr>
        <w:tc>
          <w:tcPr>
            <w:tcW w:w="4957" w:type="dxa"/>
            <w:gridSpan w:val="2"/>
            <w:shd w:val="clear" w:color="auto" w:fill="D9D9D9" w:themeFill="background1" w:themeFillShade="D9"/>
            <w:noWrap/>
          </w:tcPr>
          <w:p w14:paraId="4A33E761" w14:textId="77777777" w:rsidR="00D0008E" w:rsidRPr="006C1F9F" w:rsidRDefault="00D0008E" w:rsidP="007967CE">
            <w:pPr>
              <w:rPr>
                <w:rFonts w:ascii="Rockwell" w:hAnsi="Rockwell"/>
                <w:b/>
                <w:bCs/>
                <w:i/>
                <w:iCs/>
                <w:color w:val="000000"/>
                <w:sz w:val="22"/>
                <w:szCs w:val="22"/>
                <w:lang w:eastAsia="fr-FR"/>
              </w:rPr>
            </w:pPr>
            <w:r w:rsidRPr="006C1F9F">
              <w:rPr>
                <w:rFonts w:ascii="Rockwell" w:hAnsi="Rockwell"/>
                <w:b/>
                <w:bCs/>
                <w:i/>
                <w:iCs/>
                <w:color w:val="000000"/>
                <w:sz w:val="22"/>
                <w:szCs w:val="22"/>
                <w:lang w:eastAsia="fr-FR"/>
              </w:rPr>
              <w:t>Spécifications techniques exigées dans le DAO</w:t>
            </w:r>
          </w:p>
        </w:tc>
        <w:tc>
          <w:tcPr>
            <w:tcW w:w="8515" w:type="dxa"/>
            <w:gridSpan w:val="2"/>
            <w:shd w:val="clear" w:color="auto" w:fill="D9D9D9" w:themeFill="background1" w:themeFillShade="D9"/>
          </w:tcPr>
          <w:p w14:paraId="4440471C" w14:textId="77777777" w:rsidR="00D0008E" w:rsidRPr="006C1F9F" w:rsidRDefault="00D0008E" w:rsidP="007967CE">
            <w:pPr>
              <w:rPr>
                <w:rFonts w:ascii="Rockwell" w:hAnsi="Rockwell"/>
                <w:b/>
                <w:bCs/>
                <w:i/>
                <w:iCs/>
                <w:color w:val="000000"/>
                <w:sz w:val="22"/>
                <w:szCs w:val="22"/>
                <w:lang w:eastAsia="fr-FR"/>
              </w:rPr>
            </w:pPr>
            <w:r w:rsidRPr="006C1F9F">
              <w:rPr>
                <w:rFonts w:ascii="Rockwell" w:hAnsi="Rockwell"/>
                <w:b/>
                <w:bCs/>
                <w:i/>
                <w:iCs/>
                <w:color w:val="000000"/>
                <w:sz w:val="22"/>
                <w:szCs w:val="22"/>
                <w:lang w:eastAsia="fr-FR"/>
              </w:rPr>
              <w:t>Spécifications techniques proposées par le soumissionnaire</w:t>
            </w:r>
          </w:p>
        </w:tc>
      </w:tr>
      <w:tr w:rsidR="00D0008E" w:rsidRPr="006C1F9F" w14:paraId="4DAB921C" w14:textId="77777777" w:rsidTr="00D0008E">
        <w:trPr>
          <w:trHeight w:val="20"/>
          <w:jc w:val="center"/>
        </w:trPr>
        <w:tc>
          <w:tcPr>
            <w:tcW w:w="1555" w:type="dxa"/>
            <w:shd w:val="clear" w:color="auto" w:fill="D9D9D9" w:themeFill="background1" w:themeFillShade="D9"/>
            <w:noWrap/>
            <w:hideMark/>
          </w:tcPr>
          <w:p w14:paraId="7B4E26BE" w14:textId="77777777" w:rsidR="00D0008E" w:rsidRPr="006C1F9F" w:rsidRDefault="00D0008E" w:rsidP="007967CE">
            <w:pPr>
              <w:rPr>
                <w:rFonts w:ascii="Rockwell" w:hAnsi="Rockwell"/>
                <w:b/>
                <w:bCs/>
                <w:i/>
                <w:iCs/>
                <w:color w:val="000000"/>
                <w:sz w:val="22"/>
                <w:szCs w:val="22"/>
                <w:lang w:eastAsia="fr-FR"/>
              </w:rPr>
            </w:pPr>
            <w:r w:rsidRPr="006C1F9F">
              <w:rPr>
                <w:rFonts w:ascii="Rockwell" w:hAnsi="Rockwell"/>
                <w:b/>
                <w:bCs/>
                <w:i/>
                <w:iCs/>
                <w:color w:val="000000"/>
                <w:sz w:val="22"/>
                <w:szCs w:val="22"/>
                <w:lang w:eastAsia="fr-FR"/>
              </w:rPr>
              <w:t xml:space="preserve">Composition </w:t>
            </w:r>
          </w:p>
        </w:tc>
        <w:tc>
          <w:tcPr>
            <w:tcW w:w="3402" w:type="dxa"/>
            <w:shd w:val="clear" w:color="auto" w:fill="D9D9D9" w:themeFill="background1" w:themeFillShade="D9"/>
            <w:noWrap/>
            <w:hideMark/>
          </w:tcPr>
          <w:p w14:paraId="00313F23" w14:textId="77777777" w:rsidR="00D0008E" w:rsidRPr="006C1F9F" w:rsidRDefault="00D0008E" w:rsidP="007967CE">
            <w:pPr>
              <w:rPr>
                <w:rFonts w:ascii="Rockwell" w:hAnsi="Rockwell"/>
                <w:b/>
                <w:bCs/>
                <w:i/>
                <w:iCs/>
                <w:color w:val="000000"/>
                <w:sz w:val="22"/>
                <w:szCs w:val="22"/>
                <w:lang w:eastAsia="fr-FR"/>
              </w:rPr>
            </w:pPr>
            <w:r w:rsidRPr="006C1F9F">
              <w:rPr>
                <w:rFonts w:ascii="Rockwell" w:hAnsi="Rockwell"/>
                <w:b/>
                <w:bCs/>
                <w:i/>
                <w:iCs/>
                <w:color w:val="000000"/>
                <w:sz w:val="22"/>
                <w:szCs w:val="22"/>
                <w:lang w:eastAsia="fr-FR"/>
              </w:rPr>
              <w:t>Valeur (%)</w:t>
            </w:r>
          </w:p>
        </w:tc>
        <w:tc>
          <w:tcPr>
            <w:tcW w:w="5113" w:type="dxa"/>
            <w:shd w:val="clear" w:color="auto" w:fill="D9D9D9" w:themeFill="background1" w:themeFillShade="D9"/>
          </w:tcPr>
          <w:p w14:paraId="7C4FDBC8" w14:textId="77777777" w:rsidR="00D0008E" w:rsidRPr="006C1F9F" w:rsidRDefault="00D0008E" w:rsidP="007967CE">
            <w:pPr>
              <w:rPr>
                <w:rFonts w:ascii="Rockwell" w:hAnsi="Rockwell"/>
                <w:b/>
                <w:bCs/>
                <w:i/>
                <w:iCs/>
                <w:color w:val="000000"/>
                <w:sz w:val="22"/>
                <w:szCs w:val="22"/>
                <w:lang w:eastAsia="fr-FR"/>
              </w:rPr>
            </w:pPr>
            <w:r w:rsidRPr="006C1F9F">
              <w:rPr>
                <w:rFonts w:ascii="Rockwell" w:hAnsi="Rockwell"/>
                <w:b/>
                <w:bCs/>
                <w:i/>
                <w:iCs/>
                <w:color w:val="000000"/>
                <w:sz w:val="22"/>
                <w:szCs w:val="22"/>
                <w:lang w:eastAsia="fr-FR"/>
              </w:rPr>
              <w:t xml:space="preserve">Composition </w:t>
            </w:r>
          </w:p>
        </w:tc>
        <w:tc>
          <w:tcPr>
            <w:tcW w:w="3402" w:type="dxa"/>
            <w:shd w:val="clear" w:color="auto" w:fill="D9D9D9" w:themeFill="background1" w:themeFillShade="D9"/>
          </w:tcPr>
          <w:p w14:paraId="1EAF7F19" w14:textId="77777777" w:rsidR="00D0008E" w:rsidRPr="006C1F9F" w:rsidRDefault="00D0008E" w:rsidP="007967CE">
            <w:pPr>
              <w:rPr>
                <w:rFonts w:ascii="Rockwell" w:hAnsi="Rockwell"/>
                <w:b/>
                <w:bCs/>
                <w:i/>
                <w:iCs/>
                <w:color w:val="000000"/>
                <w:sz w:val="22"/>
                <w:szCs w:val="22"/>
                <w:lang w:eastAsia="fr-FR"/>
              </w:rPr>
            </w:pPr>
            <w:r w:rsidRPr="006C1F9F">
              <w:rPr>
                <w:rFonts w:ascii="Rockwell" w:hAnsi="Rockwell"/>
                <w:b/>
                <w:bCs/>
                <w:i/>
                <w:iCs/>
                <w:color w:val="000000"/>
                <w:sz w:val="22"/>
                <w:szCs w:val="22"/>
                <w:lang w:eastAsia="fr-FR"/>
              </w:rPr>
              <w:t>Valeur (%)</w:t>
            </w:r>
          </w:p>
        </w:tc>
      </w:tr>
      <w:tr w:rsidR="00D0008E" w:rsidRPr="006C1F9F" w14:paraId="3ADC68B2" w14:textId="77777777" w:rsidTr="00D0008E">
        <w:trPr>
          <w:trHeight w:val="20"/>
          <w:jc w:val="center"/>
        </w:trPr>
        <w:tc>
          <w:tcPr>
            <w:tcW w:w="1555" w:type="dxa"/>
            <w:noWrap/>
            <w:hideMark/>
          </w:tcPr>
          <w:p w14:paraId="4A112692" w14:textId="77777777" w:rsidR="00D0008E" w:rsidRPr="006C1F9F" w:rsidRDefault="00D0008E" w:rsidP="007967CE">
            <w:pPr>
              <w:rPr>
                <w:rFonts w:ascii="Rockwell" w:hAnsi="Rockwell"/>
                <w:color w:val="000000"/>
                <w:sz w:val="22"/>
                <w:szCs w:val="22"/>
                <w:lang w:eastAsia="fr-FR"/>
              </w:rPr>
            </w:pPr>
            <w:r w:rsidRPr="006C1F9F">
              <w:rPr>
                <w:rFonts w:ascii="Rockwell" w:hAnsi="Rockwell"/>
                <w:color w:val="000000"/>
                <w:sz w:val="22"/>
                <w:szCs w:val="22"/>
                <w:lang w:eastAsia="fr-FR"/>
              </w:rPr>
              <w:t xml:space="preserve">Protéines </w:t>
            </w:r>
          </w:p>
        </w:tc>
        <w:tc>
          <w:tcPr>
            <w:tcW w:w="3402" w:type="dxa"/>
            <w:noWrap/>
            <w:hideMark/>
          </w:tcPr>
          <w:p w14:paraId="0F01862F" w14:textId="77777777" w:rsidR="00D0008E" w:rsidRPr="006C1F9F" w:rsidRDefault="00D0008E" w:rsidP="007967CE">
            <w:pPr>
              <w:jc w:val="center"/>
              <w:rPr>
                <w:rFonts w:ascii="Rockwell" w:hAnsi="Rockwell"/>
                <w:color w:val="000000"/>
                <w:sz w:val="22"/>
                <w:szCs w:val="22"/>
                <w:lang w:eastAsia="fr-FR"/>
              </w:rPr>
            </w:pPr>
            <w:r w:rsidRPr="006C1F9F">
              <w:rPr>
                <w:rFonts w:ascii="Rockwell" w:hAnsi="Rockwell"/>
                <w:color w:val="000000"/>
                <w:sz w:val="22"/>
                <w:szCs w:val="22"/>
                <w:lang w:eastAsia="fr-FR"/>
              </w:rPr>
              <w:t>17 - 18</w:t>
            </w:r>
          </w:p>
        </w:tc>
        <w:tc>
          <w:tcPr>
            <w:tcW w:w="5113" w:type="dxa"/>
          </w:tcPr>
          <w:p w14:paraId="48857611" w14:textId="77777777" w:rsidR="00D0008E" w:rsidRPr="006C1F9F" w:rsidRDefault="00D0008E" w:rsidP="007967CE">
            <w:pPr>
              <w:jc w:val="center"/>
              <w:rPr>
                <w:rFonts w:ascii="Rockwell" w:hAnsi="Rockwell"/>
                <w:color w:val="000000"/>
                <w:sz w:val="22"/>
                <w:szCs w:val="22"/>
                <w:lang w:eastAsia="fr-FR"/>
              </w:rPr>
            </w:pPr>
          </w:p>
        </w:tc>
        <w:tc>
          <w:tcPr>
            <w:tcW w:w="3402" w:type="dxa"/>
          </w:tcPr>
          <w:p w14:paraId="430F3E78" w14:textId="77777777" w:rsidR="00D0008E" w:rsidRPr="006C1F9F" w:rsidRDefault="00D0008E" w:rsidP="007967CE">
            <w:pPr>
              <w:jc w:val="center"/>
              <w:rPr>
                <w:rFonts w:ascii="Rockwell" w:hAnsi="Rockwell"/>
                <w:color w:val="000000"/>
                <w:sz w:val="22"/>
                <w:szCs w:val="22"/>
                <w:lang w:eastAsia="fr-FR"/>
              </w:rPr>
            </w:pPr>
          </w:p>
        </w:tc>
      </w:tr>
      <w:tr w:rsidR="00D0008E" w:rsidRPr="006C1F9F" w14:paraId="11A86136" w14:textId="77777777" w:rsidTr="00D0008E">
        <w:trPr>
          <w:trHeight w:val="20"/>
          <w:jc w:val="center"/>
        </w:trPr>
        <w:tc>
          <w:tcPr>
            <w:tcW w:w="1555" w:type="dxa"/>
            <w:noWrap/>
            <w:hideMark/>
          </w:tcPr>
          <w:p w14:paraId="34A94C1B" w14:textId="77777777" w:rsidR="00D0008E" w:rsidRPr="006C1F9F" w:rsidRDefault="00D0008E" w:rsidP="007967CE">
            <w:pPr>
              <w:rPr>
                <w:rFonts w:ascii="Rockwell" w:hAnsi="Rockwell"/>
                <w:color w:val="000000"/>
                <w:sz w:val="22"/>
                <w:szCs w:val="22"/>
                <w:lang w:eastAsia="fr-FR"/>
              </w:rPr>
            </w:pPr>
            <w:r w:rsidRPr="006C1F9F">
              <w:rPr>
                <w:rFonts w:ascii="Rockwell" w:hAnsi="Rockwell"/>
                <w:color w:val="000000"/>
                <w:sz w:val="22"/>
                <w:szCs w:val="22"/>
                <w:lang w:eastAsia="fr-FR"/>
              </w:rPr>
              <w:t xml:space="preserve">Calcium </w:t>
            </w:r>
          </w:p>
        </w:tc>
        <w:tc>
          <w:tcPr>
            <w:tcW w:w="3402" w:type="dxa"/>
            <w:noWrap/>
            <w:hideMark/>
          </w:tcPr>
          <w:p w14:paraId="5DD980AC" w14:textId="77777777" w:rsidR="00D0008E" w:rsidRPr="006C1F9F" w:rsidRDefault="00D0008E" w:rsidP="007967CE">
            <w:pPr>
              <w:jc w:val="center"/>
              <w:rPr>
                <w:rFonts w:ascii="Rockwell" w:hAnsi="Rockwell"/>
                <w:color w:val="000000"/>
                <w:sz w:val="22"/>
                <w:szCs w:val="22"/>
                <w:lang w:eastAsia="fr-FR"/>
              </w:rPr>
            </w:pPr>
            <w:r w:rsidRPr="006C1F9F">
              <w:rPr>
                <w:rFonts w:ascii="Rockwell" w:hAnsi="Rockwell"/>
                <w:color w:val="000000"/>
                <w:sz w:val="22"/>
                <w:szCs w:val="22"/>
                <w:lang w:eastAsia="fr-FR"/>
              </w:rPr>
              <w:t>0,58 - 0,77</w:t>
            </w:r>
          </w:p>
        </w:tc>
        <w:tc>
          <w:tcPr>
            <w:tcW w:w="5113" w:type="dxa"/>
          </w:tcPr>
          <w:p w14:paraId="7C2A30A8" w14:textId="77777777" w:rsidR="00D0008E" w:rsidRPr="006C1F9F" w:rsidRDefault="00D0008E" w:rsidP="007967CE">
            <w:pPr>
              <w:jc w:val="center"/>
              <w:rPr>
                <w:rFonts w:ascii="Rockwell" w:hAnsi="Rockwell"/>
                <w:color w:val="000000"/>
                <w:sz w:val="22"/>
                <w:szCs w:val="22"/>
                <w:lang w:eastAsia="fr-FR"/>
              </w:rPr>
            </w:pPr>
          </w:p>
        </w:tc>
        <w:tc>
          <w:tcPr>
            <w:tcW w:w="3402" w:type="dxa"/>
          </w:tcPr>
          <w:p w14:paraId="799985A1" w14:textId="77777777" w:rsidR="00D0008E" w:rsidRPr="006C1F9F" w:rsidRDefault="00D0008E" w:rsidP="007967CE">
            <w:pPr>
              <w:jc w:val="center"/>
              <w:rPr>
                <w:rFonts w:ascii="Rockwell" w:hAnsi="Rockwell"/>
                <w:color w:val="000000"/>
                <w:sz w:val="22"/>
                <w:szCs w:val="22"/>
                <w:lang w:eastAsia="fr-FR"/>
              </w:rPr>
            </w:pPr>
          </w:p>
        </w:tc>
      </w:tr>
      <w:tr w:rsidR="00D0008E" w:rsidRPr="006C1F9F" w14:paraId="6FD889D1" w14:textId="77777777" w:rsidTr="00D0008E">
        <w:trPr>
          <w:trHeight w:val="20"/>
          <w:jc w:val="center"/>
        </w:trPr>
        <w:tc>
          <w:tcPr>
            <w:tcW w:w="1555" w:type="dxa"/>
            <w:noWrap/>
            <w:hideMark/>
          </w:tcPr>
          <w:p w14:paraId="03A60181" w14:textId="77777777" w:rsidR="00D0008E" w:rsidRPr="006C1F9F" w:rsidRDefault="00D0008E" w:rsidP="007967CE">
            <w:pPr>
              <w:rPr>
                <w:rFonts w:ascii="Rockwell" w:hAnsi="Rockwell"/>
                <w:color w:val="000000"/>
                <w:sz w:val="22"/>
                <w:szCs w:val="22"/>
                <w:lang w:eastAsia="fr-FR"/>
              </w:rPr>
            </w:pPr>
            <w:r w:rsidRPr="006C1F9F">
              <w:rPr>
                <w:rFonts w:ascii="Rockwell" w:hAnsi="Rockwell"/>
                <w:color w:val="000000"/>
                <w:sz w:val="22"/>
                <w:szCs w:val="22"/>
                <w:lang w:eastAsia="fr-FR"/>
              </w:rPr>
              <w:t xml:space="preserve">Phosphore </w:t>
            </w:r>
          </w:p>
        </w:tc>
        <w:tc>
          <w:tcPr>
            <w:tcW w:w="3402" w:type="dxa"/>
            <w:noWrap/>
            <w:hideMark/>
          </w:tcPr>
          <w:p w14:paraId="12945DC6" w14:textId="77777777" w:rsidR="00D0008E" w:rsidRPr="006C1F9F" w:rsidRDefault="00D0008E" w:rsidP="007967CE">
            <w:pPr>
              <w:jc w:val="center"/>
              <w:rPr>
                <w:rFonts w:ascii="Rockwell" w:hAnsi="Rockwell"/>
                <w:color w:val="000000"/>
                <w:sz w:val="22"/>
                <w:szCs w:val="22"/>
                <w:lang w:eastAsia="fr-FR"/>
              </w:rPr>
            </w:pPr>
            <w:r w:rsidRPr="006C1F9F">
              <w:rPr>
                <w:rFonts w:ascii="Rockwell" w:hAnsi="Rockwell"/>
                <w:color w:val="000000"/>
                <w:sz w:val="22"/>
                <w:szCs w:val="22"/>
                <w:lang w:eastAsia="fr-FR"/>
              </w:rPr>
              <w:t>0,41 - 0,48</w:t>
            </w:r>
          </w:p>
        </w:tc>
        <w:tc>
          <w:tcPr>
            <w:tcW w:w="5113" w:type="dxa"/>
          </w:tcPr>
          <w:p w14:paraId="60DE3956" w14:textId="77777777" w:rsidR="00D0008E" w:rsidRPr="006C1F9F" w:rsidRDefault="00D0008E" w:rsidP="007967CE">
            <w:pPr>
              <w:jc w:val="center"/>
              <w:rPr>
                <w:rFonts w:ascii="Rockwell" w:hAnsi="Rockwell"/>
                <w:color w:val="000000"/>
                <w:sz w:val="22"/>
                <w:szCs w:val="22"/>
                <w:lang w:eastAsia="fr-FR"/>
              </w:rPr>
            </w:pPr>
          </w:p>
        </w:tc>
        <w:tc>
          <w:tcPr>
            <w:tcW w:w="3402" w:type="dxa"/>
          </w:tcPr>
          <w:p w14:paraId="484A923A" w14:textId="77777777" w:rsidR="00D0008E" w:rsidRPr="006C1F9F" w:rsidRDefault="00D0008E" w:rsidP="007967CE">
            <w:pPr>
              <w:jc w:val="center"/>
              <w:rPr>
                <w:rFonts w:ascii="Rockwell" w:hAnsi="Rockwell"/>
                <w:color w:val="000000"/>
                <w:sz w:val="22"/>
                <w:szCs w:val="22"/>
                <w:lang w:eastAsia="fr-FR"/>
              </w:rPr>
            </w:pPr>
          </w:p>
        </w:tc>
      </w:tr>
      <w:tr w:rsidR="00D0008E" w:rsidRPr="006C1F9F" w14:paraId="01169EC9" w14:textId="77777777" w:rsidTr="00D0008E">
        <w:trPr>
          <w:trHeight w:val="20"/>
          <w:jc w:val="center"/>
        </w:trPr>
        <w:tc>
          <w:tcPr>
            <w:tcW w:w="1555" w:type="dxa"/>
            <w:noWrap/>
            <w:hideMark/>
          </w:tcPr>
          <w:p w14:paraId="612C1374" w14:textId="77777777" w:rsidR="00D0008E" w:rsidRPr="006C1F9F" w:rsidRDefault="00D0008E" w:rsidP="007967CE">
            <w:pPr>
              <w:rPr>
                <w:rFonts w:ascii="Rockwell" w:hAnsi="Rockwell"/>
                <w:color w:val="000000"/>
                <w:sz w:val="22"/>
                <w:szCs w:val="22"/>
                <w:lang w:eastAsia="fr-FR"/>
              </w:rPr>
            </w:pPr>
            <w:r w:rsidRPr="006C1F9F">
              <w:rPr>
                <w:rFonts w:ascii="Rockwell" w:hAnsi="Rockwell"/>
                <w:color w:val="000000"/>
                <w:sz w:val="22"/>
                <w:szCs w:val="22"/>
                <w:lang w:eastAsia="fr-FR"/>
              </w:rPr>
              <w:t xml:space="preserve">Sodium </w:t>
            </w:r>
          </w:p>
        </w:tc>
        <w:tc>
          <w:tcPr>
            <w:tcW w:w="3402" w:type="dxa"/>
            <w:noWrap/>
            <w:hideMark/>
          </w:tcPr>
          <w:p w14:paraId="72F34525" w14:textId="77777777" w:rsidR="00D0008E" w:rsidRPr="006C1F9F" w:rsidRDefault="00D0008E" w:rsidP="007967CE">
            <w:pPr>
              <w:jc w:val="center"/>
              <w:rPr>
                <w:rFonts w:ascii="Rockwell" w:hAnsi="Rockwell"/>
                <w:color w:val="000000"/>
                <w:sz w:val="22"/>
                <w:szCs w:val="22"/>
                <w:lang w:eastAsia="fr-FR"/>
              </w:rPr>
            </w:pPr>
            <w:r w:rsidRPr="006C1F9F">
              <w:rPr>
                <w:rFonts w:ascii="Rockwell" w:hAnsi="Rockwell"/>
                <w:color w:val="000000"/>
                <w:sz w:val="22"/>
                <w:szCs w:val="22"/>
                <w:lang w:eastAsia="fr-FR"/>
              </w:rPr>
              <w:t xml:space="preserve">0,18 </w:t>
            </w:r>
          </w:p>
        </w:tc>
        <w:tc>
          <w:tcPr>
            <w:tcW w:w="5113" w:type="dxa"/>
          </w:tcPr>
          <w:p w14:paraId="79B08DE1" w14:textId="77777777" w:rsidR="00D0008E" w:rsidRPr="006C1F9F" w:rsidRDefault="00D0008E" w:rsidP="007967CE">
            <w:pPr>
              <w:jc w:val="center"/>
              <w:rPr>
                <w:rFonts w:ascii="Rockwell" w:hAnsi="Rockwell"/>
                <w:color w:val="000000"/>
                <w:sz w:val="22"/>
                <w:szCs w:val="22"/>
                <w:lang w:eastAsia="fr-FR"/>
              </w:rPr>
            </w:pPr>
          </w:p>
        </w:tc>
        <w:tc>
          <w:tcPr>
            <w:tcW w:w="3402" w:type="dxa"/>
          </w:tcPr>
          <w:p w14:paraId="053FF13F" w14:textId="77777777" w:rsidR="00D0008E" w:rsidRPr="006C1F9F" w:rsidRDefault="00D0008E" w:rsidP="007967CE">
            <w:pPr>
              <w:jc w:val="center"/>
              <w:rPr>
                <w:rFonts w:ascii="Rockwell" w:hAnsi="Rockwell"/>
                <w:color w:val="000000"/>
                <w:sz w:val="22"/>
                <w:szCs w:val="22"/>
                <w:lang w:eastAsia="fr-FR"/>
              </w:rPr>
            </w:pPr>
          </w:p>
        </w:tc>
      </w:tr>
      <w:tr w:rsidR="00D0008E" w:rsidRPr="006C1F9F" w14:paraId="78D8EC93" w14:textId="77777777" w:rsidTr="00D0008E">
        <w:trPr>
          <w:trHeight w:val="20"/>
          <w:jc w:val="center"/>
        </w:trPr>
        <w:tc>
          <w:tcPr>
            <w:tcW w:w="1555" w:type="dxa"/>
            <w:noWrap/>
            <w:hideMark/>
          </w:tcPr>
          <w:p w14:paraId="5BD62E87" w14:textId="77777777" w:rsidR="00D0008E" w:rsidRPr="006C1F9F" w:rsidRDefault="00D0008E" w:rsidP="007967CE">
            <w:pPr>
              <w:rPr>
                <w:rFonts w:ascii="Rockwell" w:hAnsi="Rockwell"/>
                <w:color w:val="000000"/>
                <w:sz w:val="22"/>
                <w:szCs w:val="22"/>
                <w:lang w:eastAsia="fr-FR"/>
              </w:rPr>
            </w:pPr>
            <w:r w:rsidRPr="006C1F9F">
              <w:rPr>
                <w:rFonts w:ascii="Rockwell" w:hAnsi="Rockwell"/>
                <w:color w:val="000000"/>
                <w:sz w:val="22"/>
                <w:szCs w:val="22"/>
                <w:lang w:eastAsia="fr-FR"/>
              </w:rPr>
              <w:t xml:space="preserve">Minéraux </w:t>
            </w:r>
          </w:p>
        </w:tc>
        <w:tc>
          <w:tcPr>
            <w:tcW w:w="3402" w:type="dxa"/>
            <w:noWrap/>
            <w:hideMark/>
          </w:tcPr>
          <w:p w14:paraId="42C3E303" w14:textId="77777777" w:rsidR="00D0008E" w:rsidRPr="006C1F9F" w:rsidRDefault="00D0008E" w:rsidP="007967CE">
            <w:pPr>
              <w:jc w:val="center"/>
              <w:rPr>
                <w:rFonts w:ascii="Rockwell" w:hAnsi="Rockwell"/>
                <w:color w:val="000000"/>
                <w:sz w:val="22"/>
                <w:szCs w:val="22"/>
                <w:lang w:eastAsia="fr-FR"/>
              </w:rPr>
            </w:pPr>
            <w:r w:rsidRPr="006C1F9F">
              <w:rPr>
                <w:rFonts w:ascii="Rockwell" w:hAnsi="Rockwell"/>
                <w:color w:val="000000"/>
                <w:sz w:val="22"/>
                <w:szCs w:val="22"/>
                <w:lang w:eastAsia="fr-FR"/>
              </w:rPr>
              <w:t>2,3</w:t>
            </w:r>
          </w:p>
        </w:tc>
        <w:tc>
          <w:tcPr>
            <w:tcW w:w="5113" w:type="dxa"/>
          </w:tcPr>
          <w:p w14:paraId="6FE8B398" w14:textId="77777777" w:rsidR="00D0008E" w:rsidRPr="006C1F9F" w:rsidRDefault="00D0008E" w:rsidP="007967CE">
            <w:pPr>
              <w:jc w:val="center"/>
              <w:rPr>
                <w:rFonts w:ascii="Rockwell" w:hAnsi="Rockwell"/>
                <w:color w:val="000000"/>
                <w:sz w:val="22"/>
                <w:szCs w:val="22"/>
                <w:lang w:eastAsia="fr-FR"/>
              </w:rPr>
            </w:pPr>
          </w:p>
        </w:tc>
        <w:tc>
          <w:tcPr>
            <w:tcW w:w="3402" w:type="dxa"/>
          </w:tcPr>
          <w:p w14:paraId="4D3EAF53" w14:textId="77777777" w:rsidR="00D0008E" w:rsidRPr="006C1F9F" w:rsidRDefault="00D0008E" w:rsidP="007967CE">
            <w:pPr>
              <w:jc w:val="center"/>
              <w:rPr>
                <w:rFonts w:ascii="Rockwell" w:hAnsi="Rockwell"/>
                <w:color w:val="000000"/>
                <w:sz w:val="22"/>
                <w:szCs w:val="22"/>
                <w:lang w:eastAsia="fr-FR"/>
              </w:rPr>
            </w:pPr>
          </w:p>
        </w:tc>
      </w:tr>
      <w:tr w:rsidR="00D0008E" w:rsidRPr="006C1F9F" w14:paraId="0CBE111A" w14:textId="77777777" w:rsidTr="00D0008E">
        <w:trPr>
          <w:trHeight w:val="20"/>
          <w:jc w:val="center"/>
        </w:trPr>
        <w:tc>
          <w:tcPr>
            <w:tcW w:w="1555" w:type="dxa"/>
            <w:noWrap/>
            <w:hideMark/>
          </w:tcPr>
          <w:p w14:paraId="34F8B30C" w14:textId="77777777" w:rsidR="00D0008E" w:rsidRPr="006C1F9F" w:rsidRDefault="00D0008E" w:rsidP="007967CE">
            <w:pPr>
              <w:rPr>
                <w:rFonts w:ascii="Rockwell" w:hAnsi="Rockwell"/>
                <w:color w:val="000000"/>
                <w:sz w:val="22"/>
                <w:szCs w:val="22"/>
                <w:lang w:eastAsia="fr-FR"/>
              </w:rPr>
            </w:pPr>
            <w:r w:rsidRPr="006C1F9F">
              <w:rPr>
                <w:rFonts w:ascii="Rockwell" w:hAnsi="Rockwell"/>
                <w:color w:val="000000"/>
                <w:sz w:val="22"/>
                <w:szCs w:val="22"/>
                <w:lang w:eastAsia="fr-FR"/>
              </w:rPr>
              <w:t>Emballage</w:t>
            </w:r>
          </w:p>
        </w:tc>
        <w:tc>
          <w:tcPr>
            <w:tcW w:w="3402" w:type="dxa"/>
            <w:noWrap/>
            <w:hideMark/>
          </w:tcPr>
          <w:p w14:paraId="43F99FB6" w14:textId="77777777" w:rsidR="00D0008E" w:rsidRPr="006C1F9F" w:rsidRDefault="00D0008E" w:rsidP="007967CE">
            <w:pPr>
              <w:jc w:val="center"/>
              <w:rPr>
                <w:rFonts w:ascii="Rockwell" w:hAnsi="Rockwell"/>
                <w:color w:val="000000"/>
                <w:sz w:val="22"/>
                <w:szCs w:val="22"/>
                <w:lang w:eastAsia="fr-FR"/>
              </w:rPr>
            </w:pPr>
            <w:r w:rsidRPr="006C1F9F">
              <w:rPr>
                <w:rFonts w:ascii="Rockwell" w:hAnsi="Rockwell"/>
                <w:color w:val="000000"/>
                <w:sz w:val="22"/>
                <w:szCs w:val="22"/>
                <w:lang w:eastAsia="fr-FR"/>
              </w:rPr>
              <w:t>40 kg/sac</w:t>
            </w:r>
          </w:p>
        </w:tc>
        <w:tc>
          <w:tcPr>
            <w:tcW w:w="5113" w:type="dxa"/>
          </w:tcPr>
          <w:p w14:paraId="5A70E67A" w14:textId="77777777" w:rsidR="00D0008E" w:rsidRPr="006C1F9F" w:rsidRDefault="00D0008E" w:rsidP="007967CE">
            <w:pPr>
              <w:jc w:val="center"/>
              <w:rPr>
                <w:rFonts w:ascii="Rockwell" w:hAnsi="Rockwell"/>
                <w:color w:val="000000"/>
                <w:sz w:val="22"/>
                <w:szCs w:val="22"/>
                <w:lang w:eastAsia="fr-FR"/>
              </w:rPr>
            </w:pPr>
          </w:p>
        </w:tc>
        <w:tc>
          <w:tcPr>
            <w:tcW w:w="3402" w:type="dxa"/>
          </w:tcPr>
          <w:p w14:paraId="3846BC99" w14:textId="77777777" w:rsidR="00D0008E" w:rsidRPr="006C1F9F" w:rsidRDefault="00D0008E" w:rsidP="007967CE">
            <w:pPr>
              <w:jc w:val="center"/>
              <w:rPr>
                <w:rFonts w:ascii="Rockwell" w:hAnsi="Rockwell"/>
                <w:color w:val="000000"/>
                <w:sz w:val="22"/>
                <w:szCs w:val="22"/>
                <w:lang w:eastAsia="fr-FR"/>
              </w:rPr>
            </w:pPr>
          </w:p>
        </w:tc>
      </w:tr>
      <w:tr w:rsidR="00D0008E" w:rsidRPr="006C1F9F" w14:paraId="7729F9AB" w14:textId="77777777" w:rsidTr="00D0008E">
        <w:trPr>
          <w:trHeight w:val="20"/>
          <w:jc w:val="center"/>
        </w:trPr>
        <w:tc>
          <w:tcPr>
            <w:tcW w:w="1555" w:type="dxa"/>
            <w:noWrap/>
            <w:hideMark/>
          </w:tcPr>
          <w:p w14:paraId="72A2CBEA" w14:textId="77777777" w:rsidR="00D0008E" w:rsidRPr="006C1F9F" w:rsidRDefault="00D0008E" w:rsidP="007967CE">
            <w:pPr>
              <w:rPr>
                <w:rFonts w:ascii="Rockwell" w:hAnsi="Rockwell"/>
                <w:color w:val="000000"/>
                <w:sz w:val="22"/>
                <w:szCs w:val="22"/>
                <w:lang w:eastAsia="fr-FR"/>
              </w:rPr>
            </w:pPr>
            <w:r w:rsidRPr="006C1F9F">
              <w:rPr>
                <w:rFonts w:ascii="Rockwell" w:hAnsi="Rockwell"/>
                <w:color w:val="000000"/>
                <w:sz w:val="22"/>
                <w:szCs w:val="22"/>
                <w:lang w:eastAsia="fr-FR"/>
              </w:rPr>
              <w:t>Sacs</w:t>
            </w:r>
          </w:p>
        </w:tc>
        <w:tc>
          <w:tcPr>
            <w:tcW w:w="3402" w:type="dxa"/>
            <w:noWrap/>
            <w:hideMark/>
          </w:tcPr>
          <w:p w14:paraId="6A75B60F" w14:textId="77777777" w:rsidR="00D0008E" w:rsidRPr="006C1F9F" w:rsidRDefault="00D0008E" w:rsidP="007967CE">
            <w:pPr>
              <w:jc w:val="center"/>
              <w:rPr>
                <w:rFonts w:ascii="Rockwell" w:hAnsi="Rockwell"/>
                <w:color w:val="000000"/>
                <w:sz w:val="22"/>
                <w:szCs w:val="22"/>
                <w:lang w:eastAsia="fr-FR"/>
              </w:rPr>
            </w:pPr>
            <w:r w:rsidRPr="006C1F9F">
              <w:rPr>
                <w:rFonts w:ascii="Rockwell" w:hAnsi="Rockwell"/>
                <w:color w:val="000000"/>
                <w:sz w:val="22"/>
                <w:szCs w:val="22"/>
                <w:lang w:eastAsia="fr-FR"/>
              </w:rPr>
              <w:t>Nylon</w:t>
            </w:r>
          </w:p>
        </w:tc>
        <w:tc>
          <w:tcPr>
            <w:tcW w:w="5113" w:type="dxa"/>
          </w:tcPr>
          <w:p w14:paraId="40D64693" w14:textId="77777777" w:rsidR="00D0008E" w:rsidRPr="006C1F9F" w:rsidRDefault="00D0008E" w:rsidP="007967CE">
            <w:pPr>
              <w:jc w:val="center"/>
              <w:rPr>
                <w:rFonts w:ascii="Rockwell" w:hAnsi="Rockwell"/>
                <w:color w:val="000000"/>
                <w:sz w:val="22"/>
                <w:szCs w:val="22"/>
                <w:lang w:eastAsia="fr-FR"/>
              </w:rPr>
            </w:pPr>
          </w:p>
        </w:tc>
        <w:tc>
          <w:tcPr>
            <w:tcW w:w="3402" w:type="dxa"/>
          </w:tcPr>
          <w:p w14:paraId="775E492B" w14:textId="77777777" w:rsidR="00D0008E" w:rsidRPr="006C1F9F" w:rsidRDefault="00D0008E" w:rsidP="007967CE">
            <w:pPr>
              <w:jc w:val="center"/>
              <w:rPr>
                <w:rFonts w:ascii="Rockwell" w:hAnsi="Rockwell"/>
                <w:color w:val="000000"/>
                <w:sz w:val="22"/>
                <w:szCs w:val="22"/>
                <w:lang w:eastAsia="fr-FR"/>
              </w:rPr>
            </w:pPr>
          </w:p>
        </w:tc>
      </w:tr>
    </w:tbl>
    <w:p w14:paraId="78627DE1" w14:textId="77777777" w:rsidR="00D0008E" w:rsidRPr="006C1F9F" w:rsidRDefault="00D0008E" w:rsidP="00D0008E">
      <w:pPr>
        <w:jc w:val="both"/>
        <w:rPr>
          <w:rFonts w:ascii="Rockwell" w:hAnsi="Rockwell"/>
          <w:b/>
          <w:u w:val="single"/>
          <w:lang w:eastAsia="fr-FR"/>
        </w:rPr>
      </w:pPr>
    </w:p>
    <w:p w14:paraId="6527DAF4" w14:textId="77777777" w:rsidR="00D0008E" w:rsidRPr="006C1F9F" w:rsidRDefault="00D0008E" w:rsidP="00D0008E">
      <w:pPr>
        <w:jc w:val="both"/>
        <w:rPr>
          <w:rFonts w:ascii="Rockwell" w:hAnsi="Rockwell"/>
          <w:b/>
          <w:lang w:eastAsia="fr-FR"/>
        </w:rPr>
      </w:pPr>
      <w:r w:rsidRPr="006C1F9F">
        <w:rPr>
          <w:rFonts w:ascii="Rockwell" w:hAnsi="Rockwell"/>
          <w:b/>
          <w:u w:val="single"/>
          <w:lang w:eastAsia="fr-FR"/>
        </w:rPr>
        <w:lastRenderedPageBreak/>
        <w:t>N.B </w:t>
      </w:r>
      <w:r w:rsidRPr="006C1F9F">
        <w:rPr>
          <w:rFonts w:ascii="Rockwell" w:hAnsi="Rockwell"/>
          <w:b/>
          <w:lang w:eastAsia="fr-FR"/>
        </w:rPr>
        <w:t xml:space="preserve">:    </w:t>
      </w:r>
    </w:p>
    <w:p w14:paraId="05E4B756" w14:textId="758407B0" w:rsidR="00D0008E" w:rsidRPr="006C1F9F" w:rsidRDefault="00D0008E" w:rsidP="00D0008E">
      <w:pPr>
        <w:pStyle w:val="ListParagraph"/>
        <w:numPr>
          <w:ilvl w:val="0"/>
          <w:numId w:val="9"/>
        </w:numPr>
        <w:jc w:val="both"/>
        <w:rPr>
          <w:rFonts w:ascii="Rockwell" w:hAnsi="Rockwell"/>
          <w:b/>
          <w:bCs/>
          <w:i/>
          <w:iCs/>
          <w:lang w:eastAsia="fr-FR"/>
        </w:rPr>
      </w:pPr>
      <w:r w:rsidRPr="006C1F9F">
        <w:rPr>
          <w:rFonts w:ascii="Rockwell" w:hAnsi="Rockwell"/>
          <w:b/>
          <w:bCs/>
          <w:i/>
          <w:iCs/>
          <w:lang w:eastAsia="fr-FR"/>
        </w:rPr>
        <w:t xml:space="preserve">Les soumissionnaires retenus seront appelés à fournir des résultats d’analyse des kits aliments proposés fournis par les laboratoires de l’ISABU et/ou du </w:t>
      </w:r>
      <w:r w:rsidRPr="006C1F9F">
        <w:rPr>
          <w:rFonts w:ascii="Rockwell" w:hAnsi="Rockwell"/>
          <w:b/>
          <w:bCs/>
          <w:i/>
          <w:iCs/>
        </w:rPr>
        <w:t>Bureau Burundais de Normalisation (BBN)</w:t>
      </w:r>
      <w:r w:rsidRPr="006C1F9F">
        <w:rPr>
          <w:rFonts w:ascii="Rockwell" w:hAnsi="Rockwell"/>
          <w:b/>
          <w:bCs/>
          <w:i/>
          <w:iCs/>
          <w:lang w:eastAsia="fr-FR"/>
        </w:rPr>
        <w:t>.</w:t>
      </w:r>
    </w:p>
    <w:p w14:paraId="325A1730" w14:textId="77777777" w:rsidR="00D0008E" w:rsidRPr="006C1F9F" w:rsidRDefault="00D0008E" w:rsidP="00D0008E">
      <w:pPr>
        <w:pStyle w:val="ListParagraph"/>
        <w:spacing w:after="0" w:line="240" w:lineRule="auto"/>
        <w:jc w:val="both"/>
        <w:rPr>
          <w:rFonts w:ascii="Rockwell" w:eastAsia="Times New Roman" w:hAnsi="Rockwell" w:cs="Arial"/>
          <w:i/>
          <w:iCs/>
          <w:color w:val="FF0000"/>
          <w:kern w:val="0"/>
          <w14:ligatures w14:val="none"/>
        </w:rPr>
      </w:pPr>
    </w:p>
    <w:p w14:paraId="5DE06F27" w14:textId="77777777" w:rsidR="00D0008E" w:rsidRPr="006C1F9F" w:rsidRDefault="00D0008E" w:rsidP="00303C1B">
      <w:pPr>
        <w:pStyle w:val="ListParagraph"/>
        <w:jc w:val="both"/>
        <w:rPr>
          <w:rFonts w:ascii="Rockwell" w:hAnsi="Rockwell"/>
          <w:lang w:eastAsia="fr-FR"/>
        </w:rPr>
      </w:pPr>
    </w:p>
    <w:p w14:paraId="008A09F9" w14:textId="77777777" w:rsidR="00D0008E" w:rsidRPr="006C1F9F" w:rsidRDefault="00D0008E" w:rsidP="00D0008E">
      <w:pPr>
        <w:rPr>
          <w:rFonts w:ascii="Rockwell" w:hAnsi="Rockwell"/>
          <w:lang w:eastAsia="fr-FR"/>
        </w:rPr>
        <w:sectPr w:rsidR="00D0008E" w:rsidRPr="006C1F9F" w:rsidSect="00D0008E">
          <w:pgSz w:w="16838" w:h="11906" w:orient="landscape"/>
          <w:pgMar w:top="1417" w:right="1417" w:bottom="1417" w:left="1417" w:header="708" w:footer="708" w:gutter="0"/>
          <w:cols w:space="708"/>
          <w:docGrid w:linePitch="360"/>
        </w:sectPr>
      </w:pPr>
    </w:p>
    <w:p w14:paraId="0D788C13" w14:textId="77777777" w:rsidR="00303C1B" w:rsidRPr="006C1F9F" w:rsidRDefault="00303C1B" w:rsidP="00303C1B">
      <w:pPr>
        <w:pStyle w:val="ListParagraph"/>
        <w:jc w:val="both"/>
        <w:rPr>
          <w:rFonts w:ascii="Rockwell" w:hAnsi="Rockwell"/>
          <w:b/>
          <w:bCs/>
          <w:lang w:eastAsia="fr-FR"/>
        </w:rPr>
      </w:pPr>
    </w:p>
    <w:p w14:paraId="2061260D" w14:textId="77777777" w:rsidR="000167C1" w:rsidRPr="006C1F9F" w:rsidRDefault="000167C1">
      <w:pPr>
        <w:rPr>
          <w:rFonts w:ascii="Rockwell" w:hAnsi="Rockwell"/>
        </w:rPr>
      </w:pPr>
    </w:p>
    <w:sectPr w:rsidR="000167C1" w:rsidRPr="006C1F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30ADF" w14:textId="77777777" w:rsidR="002F4FA3" w:rsidRDefault="002F4FA3" w:rsidP="00D0008E">
      <w:pPr>
        <w:spacing w:after="0" w:line="240" w:lineRule="auto"/>
      </w:pPr>
      <w:r>
        <w:separator/>
      </w:r>
    </w:p>
  </w:endnote>
  <w:endnote w:type="continuationSeparator" w:id="0">
    <w:p w14:paraId="4ADB5367" w14:textId="77777777" w:rsidR="002F4FA3" w:rsidRDefault="002F4FA3" w:rsidP="00D0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1C332" w14:textId="77777777" w:rsidR="002F4FA3" w:rsidRDefault="002F4FA3" w:rsidP="00D0008E">
      <w:pPr>
        <w:spacing w:after="0" w:line="240" w:lineRule="auto"/>
      </w:pPr>
      <w:r>
        <w:separator/>
      </w:r>
    </w:p>
  </w:footnote>
  <w:footnote w:type="continuationSeparator" w:id="0">
    <w:p w14:paraId="62FF422B" w14:textId="77777777" w:rsidR="002F4FA3" w:rsidRDefault="002F4FA3" w:rsidP="00D00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570C"/>
    <w:multiLevelType w:val="hybridMultilevel"/>
    <w:tmpl w:val="7C4E5E1C"/>
    <w:lvl w:ilvl="0" w:tplc="040C000D">
      <w:start w:val="1"/>
      <w:numFmt w:val="bullet"/>
      <w:lvlText w:val=""/>
      <w:lvlJc w:val="left"/>
      <w:pPr>
        <w:ind w:left="786"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F235FE1"/>
    <w:multiLevelType w:val="hybridMultilevel"/>
    <w:tmpl w:val="00D2E4CC"/>
    <w:lvl w:ilvl="0" w:tplc="9DCE7BBE">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613021"/>
    <w:multiLevelType w:val="hybridMultilevel"/>
    <w:tmpl w:val="3D7C5258"/>
    <w:lvl w:ilvl="0" w:tplc="45067258">
      <w:numFmt w:val="bullet"/>
      <w:lvlText w:val="-"/>
      <w:lvlJc w:val="left"/>
      <w:pPr>
        <w:ind w:left="1080" w:hanging="360"/>
      </w:pPr>
      <w:rPr>
        <w:rFonts w:ascii="Bookman Old Style" w:eastAsiaTheme="minorHAnsi" w:hAnsi="Bookman Old Style"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3B991563"/>
    <w:multiLevelType w:val="hybridMultilevel"/>
    <w:tmpl w:val="A4DC2A44"/>
    <w:lvl w:ilvl="0" w:tplc="194AB056">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3B35F4"/>
    <w:multiLevelType w:val="hybridMultilevel"/>
    <w:tmpl w:val="3CA84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2307DB9"/>
    <w:multiLevelType w:val="hybridMultilevel"/>
    <w:tmpl w:val="0792C3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423BBE"/>
    <w:multiLevelType w:val="hybridMultilevel"/>
    <w:tmpl w:val="A6EADC88"/>
    <w:lvl w:ilvl="0" w:tplc="0EE25730">
      <w:numFmt w:val="bullet"/>
      <w:lvlText w:val="•"/>
      <w:lvlJc w:val="left"/>
      <w:pPr>
        <w:ind w:left="720" w:hanging="360"/>
      </w:pPr>
      <w:rPr>
        <w:rFonts w:hint="default"/>
        <w:lang w:val="en-US" w:eastAsia="en-US" w:bidi="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E9647F"/>
    <w:multiLevelType w:val="hybridMultilevel"/>
    <w:tmpl w:val="2FB0E0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E9F7326"/>
    <w:multiLevelType w:val="hybridMultilevel"/>
    <w:tmpl w:val="0E820582"/>
    <w:lvl w:ilvl="0" w:tplc="D4F8BD48">
      <w:start w:val="1"/>
      <w:numFmt w:val="bullet"/>
      <w:lvlText w:val="-"/>
      <w:lvlJc w:val="left"/>
      <w:pPr>
        <w:ind w:left="1800" w:hanging="360"/>
      </w:pPr>
      <w:rPr>
        <w:rFonts w:ascii="Bookman Old Style" w:eastAsia="Times New Roman" w:hAnsi="Bookman Old Style" w:cs="Times New Roman" w:hint="default"/>
        <w:b w:val="0"/>
      </w:rPr>
    </w:lvl>
    <w:lvl w:ilvl="1" w:tplc="20000003">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num w:numId="1" w16cid:durableId="1023748881">
    <w:abstractNumId w:val="6"/>
  </w:num>
  <w:num w:numId="2" w16cid:durableId="1314145539">
    <w:abstractNumId w:val="3"/>
  </w:num>
  <w:num w:numId="3" w16cid:durableId="316231759">
    <w:abstractNumId w:val="4"/>
  </w:num>
  <w:num w:numId="4" w16cid:durableId="344019111">
    <w:abstractNumId w:val="8"/>
  </w:num>
  <w:num w:numId="5" w16cid:durableId="895051860">
    <w:abstractNumId w:val="2"/>
  </w:num>
  <w:num w:numId="6" w16cid:durableId="1635327966">
    <w:abstractNumId w:val="0"/>
  </w:num>
  <w:num w:numId="7" w16cid:durableId="458382737">
    <w:abstractNumId w:val="1"/>
  </w:num>
  <w:num w:numId="8" w16cid:durableId="217669436">
    <w:abstractNumId w:val="5"/>
  </w:num>
  <w:num w:numId="9" w16cid:durableId="1043940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1B"/>
    <w:rsid w:val="000167C1"/>
    <w:rsid w:val="00065AFC"/>
    <w:rsid w:val="002F4FA3"/>
    <w:rsid w:val="00303C1B"/>
    <w:rsid w:val="0046214B"/>
    <w:rsid w:val="006C1F9F"/>
    <w:rsid w:val="007A3DF8"/>
    <w:rsid w:val="008F0948"/>
    <w:rsid w:val="00A16429"/>
    <w:rsid w:val="00B75EEF"/>
    <w:rsid w:val="00BA4FE2"/>
    <w:rsid w:val="00C70E75"/>
    <w:rsid w:val="00D0008E"/>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64BF"/>
  <w15:chartTrackingRefBased/>
  <w15:docId w15:val="{3EC94E68-F729-475C-BC89-34B59586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1B"/>
    <w:rPr>
      <w:lang w:val="fr-FR"/>
    </w:rPr>
  </w:style>
  <w:style w:type="paragraph" w:styleId="Heading1">
    <w:name w:val="heading 1"/>
    <w:basedOn w:val="Normal"/>
    <w:next w:val="Normal"/>
    <w:link w:val="Heading1Char"/>
    <w:uiPriority w:val="9"/>
    <w:qFormat/>
    <w:rsid w:val="00303C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C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C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C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C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C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C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C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C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C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C1B"/>
    <w:rPr>
      <w:rFonts w:eastAsiaTheme="majorEastAsia" w:cstheme="majorBidi"/>
      <w:color w:val="272727" w:themeColor="text1" w:themeTint="D8"/>
    </w:rPr>
  </w:style>
  <w:style w:type="paragraph" w:styleId="Title">
    <w:name w:val="Title"/>
    <w:basedOn w:val="Normal"/>
    <w:next w:val="Normal"/>
    <w:link w:val="TitleChar"/>
    <w:uiPriority w:val="10"/>
    <w:qFormat/>
    <w:rsid w:val="003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303C1B"/>
    <w:rPr>
      <w:i/>
      <w:iCs/>
      <w:color w:val="404040" w:themeColor="text1" w:themeTint="BF"/>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Paragraph Bullets,Bullets"/>
    <w:basedOn w:val="Normal"/>
    <w:link w:val="ListParagraphChar"/>
    <w:uiPriority w:val="34"/>
    <w:qFormat/>
    <w:rsid w:val="00303C1B"/>
    <w:pPr>
      <w:ind w:left="720"/>
      <w:contextualSpacing/>
    </w:pPr>
  </w:style>
  <w:style w:type="character" w:styleId="IntenseEmphasis">
    <w:name w:val="Intense Emphasis"/>
    <w:basedOn w:val="DefaultParagraphFont"/>
    <w:uiPriority w:val="21"/>
    <w:qFormat/>
    <w:rsid w:val="00303C1B"/>
    <w:rPr>
      <w:i/>
      <w:iCs/>
      <w:color w:val="2F5496" w:themeColor="accent1" w:themeShade="BF"/>
    </w:rPr>
  </w:style>
  <w:style w:type="paragraph" w:styleId="IntenseQuote">
    <w:name w:val="Intense Quote"/>
    <w:basedOn w:val="Normal"/>
    <w:next w:val="Normal"/>
    <w:link w:val="IntenseQuoteChar"/>
    <w:uiPriority w:val="30"/>
    <w:qFormat/>
    <w:rsid w:val="00303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C1B"/>
    <w:rPr>
      <w:i/>
      <w:iCs/>
      <w:color w:val="2F5496" w:themeColor="accent1" w:themeShade="BF"/>
    </w:rPr>
  </w:style>
  <w:style w:type="character" w:styleId="IntenseReference">
    <w:name w:val="Intense Reference"/>
    <w:basedOn w:val="DefaultParagraphFont"/>
    <w:uiPriority w:val="32"/>
    <w:qFormat/>
    <w:rsid w:val="00303C1B"/>
    <w:rPr>
      <w:b/>
      <w:bCs/>
      <w:smallCaps/>
      <w:color w:val="2F5496" w:themeColor="accent1" w:themeShade="BF"/>
      <w:spacing w:val="5"/>
    </w:rPr>
  </w:style>
  <w:style w:type="character" w:styleId="Hyperlink">
    <w:name w:val="Hyperlink"/>
    <w:aliases w:val="TOC ADB"/>
    <w:uiPriority w:val="99"/>
    <w:qFormat/>
    <w:rsid w:val="00303C1B"/>
    <w:rPr>
      <w:color w:val="0000FF"/>
      <w:u w:val="single"/>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303C1B"/>
  </w:style>
  <w:style w:type="paragraph" w:styleId="Header">
    <w:name w:val="header"/>
    <w:basedOn w:val="Normal"/>
    <w:link w:val="HeaderChar"/>
    <w:uiPriority w:val="99"/>
    <w:unhideWhenUsed/>
    <w:rsid w:val="00D000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008E"/>
    <w:rPr>
      <w:lang w:val="fr-FR"/>
    </w:rPr>
  </w:style>
  <w:style w:type="paragraph" w:styleId="Footer">
    <w:name w:val="footer"/>
    <w:basedOn w:val="Normal"/>
    <w:link w:val="FooterChar"/>
    <w:uiPriority w:val="99"/>
    <w:unhideWhenUsed/>
    <w:rsid w:val="00D000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008E"/>
    <w:rPr>
      <w:lang w:val="fr-FR"/>
    </w:rPr>
  </w:style>
  <w:style w:type="table" w:styleId="TableGrid">
    <w:name w:val="Table Grid"/>
    <w:basedOn w:val="TableNormal"/>
    <w:uiPriority w:val="59"/>
    <w:rsid w:val="00D0008E"/>
    <w:pPr>
      <w:spacing w:after="0" w:line="240" w:lineRule="auto"/>
    </w:pPr>
    <w:rPr>
      <w:rFonts w:ascii="Times New Roman" w:eastAsia="Times New Roman" w:hAnsi="Times New Roman"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0008E"/>
    <w:pPr>
      <w:spacing w:after="120" w:line="240" w:lineRule="auto"/>
    </w:pPr>
    <w:rPr>
      <w:rFonts w:eastAsia="Times New Roman" w:cs="Times New Roman"/>
      <w:kern w:val="0"/>
      <w:sz w:val="24"/>
      <w:szCs w:val="24"/>
      <w14:ligatures w14:val="none"/>
    </w:rPr>
  </w:style>
  <w:style w:type="character" w:customStyle="1" w:styleId="BodyTextChar">
    <w:name w:val="Body Text Char"/>
    <w:basedOn w:val="DefaultParagraphFont"/>
    <w:link w:val="BodyText"/>
    <w:rsid w:val="00D0008E"/>
    <w:rPr>
      <w:rFonts w:eastAsia="Times New Roman" w:cs="Times New Roman"/>
      <w:kern w:val="0"/>
      <w:sz w:val="24"/>
      <w:szCs w:val="24"/>
      <w:lang w:val="fr-FR"/>
      <w14:ligatures w14:val="none"/>
    </w:rPr>
  </w:style>
  <w:style w:type="paragraph" w:customStyle="1" w:styleId="aaaarapportsemnormal">
    <w:name w:val="aaaarapportsemnormal"/>
    <w:basedOn w:val="BodyText"/>
    <w:next w:val="BodyText"/>
    <w:qFormat/>
    <w:rsid w:val="00D0008E"/>
    <w:pPr>
      <w:spacing w:after="0"/>
      <w:contextualSpacing/>
      <w:jc w:val="both"/>
    </w:pPr>
    <w:rPr>
      <w:rFonts w:ascii="Arial Narrow" w:hAnsi="Arial Narrow"/>
      <w:bCs/>
      <w:sz w:val="22"/>
      <w:szCs w:val="22"/>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i.come@programmefidaburundi.org" TargetMode="External"/><Relationship Id="rId3" Type="http://schemas.openxmlformats.org/officeDocument/2006/relationships/settings" Target="settings.xml"/><Relationship Id="rId7" Type="http://schemas.openxmlformats.org/officeDocument/2006/relationships/hyperlink" Target="http://www.programmefidaburund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gidiusniyo@yahoo.com" TargetMode="External"/><Relationship Id="rId4" Type="http://schemas.openxmlformats.org/officeDocument/2006/relationships/webSettings" Target="webSettings.xml"/><Relationship Id="rId9" Type="http://schemas.openxmlformats.org/officeDocument/2006/relationships/hyperlink" Target="mailto:ntircom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2458</Words>
  <Characters>14016</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5</cp:revision>
  <dcterms:created xsi:type="dcterms:W3CDTF">2026-06-04T13:49:00Z</dcterms:created>
  <dcterms:modified xsi:type="dcterms:W3CDTF">2026-06-05T09:54:00Z</dcterms:modified>
</cp:coreProperties>
</file>